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MaschFüAusbV — Anrechnungsregelung</w:t>
      </w:r>
    </w:p>
    <w:p>
      <w:r>
        <w:rPr>
          <w:color w:val="555555"/>
          <w:sz w:val="18"/>
        </w:rPr>
        <w:t xml:space="preserve">Verordnung über die Berufsausbildung zum Maschinen- und Anlagenführer/zur Maschinen- und Anlagenführerin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(1) Die erfolgreich abgeschlossene Berufsausbildung zum Maschinen- und Anlagenführer/zur Maschinen- und Anlagenführerin kann nach den Vorschriften des dritten und vierten Ausbildungsjahres im</w:t>
      </w:r>
    </w:p>
    <w:p>
      <w:pPr>
        <w:ind w:left="420"/>
      </w:pPr>
      <w:r>
        <w:t xml:space="preserve">1. Schwerpunkt Metalltechnik/Kunststofftechnik in einem der AusbildungsberufeKunststoff- und Kautschuktechnologe/Kunststoff- und Kautschuktechnologin,Feinwerkmechaniker/Feinwerkmechanikerin,Fertigungsmechaniker/Fertigungsmechanikerin,Industriemechaniker/Industriemechanikerin,Werkzeugmechaniker/Werkzeugmechanikerin,Zerspanungsmechaniker/Zerspanungsmechanikerin;</w:t>
      </w:r>
    </w:p>
    <w:p>
      <w:pPr>
        <w:ind w:left="420"/>
      </w:pPr>
      <w:r>
        <w:t xml:space="preserve">2. Schwerpunkt Textiltechnik in dem AusbildungsberufProduktionsmechaniker-Textil/Produktionsmechanikerin-Textil;</w:t>
      </w:r>
    </w:p>
    <w:p>
      <w:pPr>
        <w:ind w:left="420"/>
      </w:pPr>
      <w:r>
        <w:t xml:space="preserve">3. Schwerpunkt Textilveredelung in dem AusbildungsberufProduktveredler-Textil/Produktveredlerin-Textil;</w:t>
      </w:r>
    </w:p>
    <w:p>
      <w:pPr>
        <w:ind w:left="420"/>
      </w:pPr>
      <w:r>
        <w:t xml:space="preserve">4. Schwerpunkt Lebensmitteltechnik in einem der AusbildungsberufeFachkraft für Lebensmitteltechnik,Fachkraft für Fruchtsafttechnik,Brauer und Mälzer/Brauerin und Mälzerin;</w:t>
      </w:r>
    </w:p>
    <w:p>
      <w:pPr>
        <w:ind w:left="420"/>
      </w:pPr>
      <w:r>
        <w:t xml:space="preserve">5. Schwerpunkt Druckweiter- und Papierverarbeitung in einem der AusbildungsberufeBuchbinder/Buchbinderin, Fachrichtung Buchfertigung (Serie) und Druckweiterverarbeitung (Serie),Verpackungsmittelmechaniker/Verpackungsmittelmechanikerin</w:t>
      </w:r>
    </w:p>
    <w:p>
      <w:r>
        <w:t xml:space="preserve">fortgesetzt werden.</w:t>
      </w:r>
    </w:p>
    <w:p>
      <w:r>
        <w:t xml:space="preserve">(2) Berufsausbildungsverhältnisse im Schwerpunkt Lebensmitteltechnik, die bis zum 8. April 2006 begründet worden sind, können im Ausbildungsberuf Molkereifachmann/Molkereifachfrau nach den Vorschriften des dritten Ausbildungsjahres fortgesetzt werden.</w:t>
      </w:r>
    </w:p>
    <w:p>
      <w:r>
        <w:t xml:space="preserve">(3) Die in der Abschlussprüfung im Ausbildungsberuf Maschinen- und Anlagenführer/Maschinen- und Anlagenführerin erzielten Leistungen werden bei der Fortsetzung der Berufsausbildung zum Feinwerkmechaniker/zur Feinwerkmechanikerin, zum Industriemechaniker/zur Industriemechanikerin, zum Werkzeugmechaniker/zur Werkzeugmechanikerin oder zum Zerspanungsmechaniker/zur Zerspanungsmechanikerin als Teil 1 der Abschlussprüfung entsprechend der Verordnung über die Berufsausbildung zum Feinwerkmechaniker/zur Feinwerkmechanikerin vom 2. Juli 2002 (BGBl. I S. 2481) oder der Verordnung über die Berufsausbildung in den industriellen Metallberufen vom 23. Juli 2007 (BGBl. I S. 1599) in das Gesamtergebnis einbezogen.</w:t>
      </w:r>
    </w:p>
    <w:p>
      <w:r>
        <w:rPr>
          <w:color w:val="555555"/>
          <w:sz w:val="17"/>
        </w:rPr>
        <w:t xml:space="preserve">Zitiervorschlag: § 10 MaschFüAusbV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https://recht.nulegal.eu/gesetze/MaschF%C3%BCAusbV/10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