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MarktOWMeldV</w:t>
      </w:r>
    </w:p>
    <w:p>
      <w:r>
        <w:rPr>
          <w:color w:val="555555"/>
          <w:sz w:val="18"/>
        </w:rPr>
        <w:t xml:space="preserve">Marktordnungswaren-Meldeverordnung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Abs. 1 in Verbindung mit Abs. 2 des Gesetzes über Meldungen über Marktordnungswaren in der Fassung der Bekanntmachung vom 26. Oktober 1995 (BGBl. I S. 1490) in Verbindung mit Artikel 56 Abs. 1 des Zuständigkeitsanpassungs-Gesetzes vom 18. März 1975 (BGBl. I S. 705) und dem Organisationserlass vom 27. Oktober 1998 (BGBl. I S. 3288) verordnet das Bundesministerium für Ernährung, Landwirtschaft und Forsten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MarktOWMeldV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https://recht.nulegal.eu/gesetze/MarktOWMeldV/eingangsformel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