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18 MarktONOG — Übergangsregelung</w:t>
      </w:r>
    </w:p>
    <w:p>
      <w:r>
        <w:rPr>
          <w:color w:val="555555"/>
          <w:sz w:val="18"/>
        </w:rPr>
        <w:t xml:space="preserve">Gesetz über Meldungen über Marktordnungswaren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Auf Meldungen für die Erzeugnisse, die den Meldepflichten nach § 4 oder § 5 der Marktordnungswaren-Meldeverordnung vom 24. November 1999 (BGBl. I S. 2286) unterliegen, ist für vor dem 1. Januar 2009 endende Meldezeiträume dieses Gesetz in der bis zum Ablauf des 28. November 2008 geltenden Fassung anzuwenden.</w:t>
      </w:r>
    </w:p>
    <w:p>
      <w:r>
        <w:t xml:space="preserve">(2) Auf Meldungen für die übrigen Erzeugnisse ist für vor dem 1. Juli 2009 endende Meldezeiträume dieses Gesetz in der bis zum Ablauf des 28. November 2008 geltenden Fassung anzuwenden.</w:t>
      </w:r>
    </w:p>
    <w:p>
      <w:r>
        <w:rPr>
          <w:color w:val="555555"/>
          <w:sz w:val="17"/>
        </w:rPr>
        <w:t xml:space="preserve">Zitiervorschlag: § 18 MarktONOG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https://recht.nulegal.eu/gesetze/MarktONOG/18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