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MarktAngV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Auf Grund des § 37i Abs. 1 Satz 3 und 4 und des § 37m Satz 3 und 4 des Wertpapierhandelsgesetzes in der Fassung der Bekanntmachung vom 9. September 1998 (BGBl. I S. 2708), die durch Artikel 2 Nr. 24 des Gesetzes vom 21. Juni 2002 (BGBl. I S. 2010) eingefügt worden sind, in Verbindung mit § 1 Nr. 1 der Verordnung zur Übertragung von Befugnissen zum Erlass von Rechtsverordnungen auf die Bundesanstalt für Finanzdienstleistungsaufsicht vom 13. Dezember 2002 (BGBl. 2003 I S. 3),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