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MarktAngV — Zusätzliche Angaben und Unterlagen</w:t>
      </w:r>
    </w:p>
    <w:p>
      <w:r>
        <w:rPr>
          <w:color w:val="555555"/>
          <w:sz w:val="18"/>
        </w:rPr>
        <w:t xml:space="preserve">Marktzugangsangabenverordnung</w:t>
      </w:r>
    </w:p>
    <w:p>
      <w:r>
        <w:rPr>
          <w:color w:val="555555"/>
          <w:sz w:val="18"/>
        </w:rPr>
        <w:t xml:space="preserve">Historische Fassung: Stand 10.06.2019 bis 14.03.2026. Dies ist nicht die aktuelle Fassung.</w:t>
      </w:r>
    </w:p>
    <w:p>
      <w:r>
        <w:t xml:space="preserve">Die Bundesanstalt kann zusätzliche Angaben und Unterlagen verlangen, soweit diese im Rahmen des § 102 Absatz 1 Satz 2 des Wertpapierhandelsgesetzes im Einzelfall für die Entscheidung über den Antrag erforderlich sind.</w:t>
      </w:r>
    </w:p>
    <w:p>
      <w:r>
        <w:rPr>
          <w:color w:val="555555"/>
          <w:sz w:val="17"/>
        </w:rPr>
        <w:t xml:space="preserve">Zitiervorschlag: § 9 MarktAngV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https://recht.nulegal.eu/gesetze/MarktAngV/9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