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MarktAngV — Gehandelte Finanzinstrumente</w:t>
      </w:r>
    </w:p>
    <w:p>
      <w:r>
        <w:rPr>
          <w:color w:val="555555"/>
          <w:sz w:val="18"/>
        </w:rPr>
        <w:t xml:space="preserve">Marktzugangsangabenverordnung</w:t>
      </w:r>
    </w:p>
    <w:p>
      <w:r>
        <w:rPr>
          <w:color w:val="555555"/>
          <w:sz w:val="18"/>
        </w:rPr>
        <w:t xml:space="preserve">Historische Fassung: Stand 10.06.2019 bis 14.03.2026. Dies ist nicht die aktuelle Fassung.</w:t>
      </w:r>
    </w:p>
    <w:p>
      <w:r>
        <w:t xml:space="preserve">Der Antragsteller hat anzugeben, welche Arten von Finanzinstrumenten über den unmittelbaren Marktzugang gehandelt werden sollen. Dabei ist eine Aufschlüsselung nach den in § 2 des Wertpapierhandelsgesetzes benannten Arten vorzunehmen. Sonstige an dem Markt gehandelte Finanzinstrumente, die in § 2 des Wertpapierhandelsgesetzes nicht gesondert aufgeführt sind, sind mit ihrer Ausstattung und Funktionsweise zu beschreiben.</w:t>
      </w:r>
    </w:p>
    <w:p>
      <w:r>
        <w:rPr>
          <w:color w:val="555555"/>
          <w:sz w:val="17"/>
        </w:rPr>
        <w:t xml:space="preserve">Zitiervorschlag: § 7 MarktAngV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https://recht.nulegal.eu/gesetze/MarktAngV/7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