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MarktAngV — Zustellungsbevollmächtigter</w:t>
      </w:r>
    </w:p>
    <w:p>
      <w:r>
        <w:rPr>
          <w:color w:val="555555"/>
          <w:sz w:val="18"/>
        </w:rPr>
        <w:t xml:space="preserve">Marktzugangsangabenverordnung</w:t>
      </w:r>
    </w:p>
    <w:p>
      <w:r>
        <w:rPr>
          <w:color w:val="555555"/>
          <w:sz w:val="18"/>
        </w:rPr>
        <w:t xml:space="preserve">Historische Fassung: Stand 10.06.2019 bis 14.03.2026. Dies ist nicht die aktuelle Fassung.</w:t>
      </w:r>
    </w:p>
    <w:p>
      <w:r>
        <w:t xml:space="preserve">Der Antragsteller hat Namen und Anschrift eines Bevollmächtigten im Inland anzugeben, der rechtlich und tatsächlich in der Lage ist, Zustellungen der Bundesanstalt für Finanzdienstleistungsaufsicht (Bundesanstalt) mit Wirkung für den Antragsteller entgegenzunehmen. Die Bevollmächtigung ist durch die Beifügung einer Abschrift der entsprechenden Urkunde nachzuweisen.</w:t>
      </w:r>
    </w:p>
    <w:p>
      <w:r>
        <w:rPr>
          <w:color w:val="555555"/>
          <w:sz w:val="17"/>
        </w:rPr>
        <w:t xml:space="preserve">Zitiervorschlag: § 5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