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MarktAngV — Name und Anschrift</w:t>
      </w:r>
    </w:p>
    <w:p>
      <w:r>
        <w:rPr>
          <w:color w:val="555555"/>
          <w:sz w:val="18"/>
        </w:rPr>
        <w:t xml:space="preserve">Marktzugangsangabenverordnung</w:t>
      </w:r>
    </w:p>
    <w:p>
      <w:r>
        <w:rPr>
          <w:color w:val="555555"/>
          <w:sz w:val="18"/>
        </w:rPr>
        <w:t xml:space="preserve">Historische Fassung: Stand 10.06.2019 bis 14.03.2026. Dies ist nicht die aktuelle Fassung.</w:t>
      </w:r>
    </w:p>
    <w:p>
      <w:r>
        <w:t xml:space="preserve">Der Antrag muss Name oder Firma und jeweils die Anschrift des Marktes, des Betreibers und der jeweiligen Geschäftsleitung enthalten. Bei juristischen Personen sind zusätzlich Rechtsform, Sitz sowie gegebenenfalls eine Eintragung in einem öffentlichen Handels- oder Gewerberegister anzugeben.</w:t>
      </w:r>
    </w:p>
    <w:p>
      <w:r>
        <w:rPr>
          <w:color w:val="555555"/>
          <w:sz w:val="17"/>
        </w:rPr>
        <w:t xml:space="preserve">Zitiervorschlag: § 2 MarktAngV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https://recht.nulegal.eu/gesetze/MarktAngV/2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