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MarkschBergV — Dokumentationspflicht</w:t>
      </w:r>
    </w:p>
    <w:p>
      <w:r>
        <w:rPr>
          <w:color w:val="555555"/>
          <w:sz w:val="18"/>
        </w:rPr>
        <w:t xml:space="preserve">Markscheider-Bergverordnung</w:t>
      </w:r>
    </w:p>
    <w:p>
      <w:r>
        <w:rPr>
          <w:color w:val="555555"/>
          <w:sz w:val="18"/>
        </w:rPr>
        <w:t xml:space="preserve">Stand: 29.07.2020 (konsolidierte Textfassung, kein amtliches Inkrafttretensdatum)</w:t>
      </w:r>
    </w:p>
    <w:p>
      <w:r>
        <w:t xml:space="preserve">Messungen und Berechnungen sind gemäß Anlage 2 zu dokumentieren. Dies ist nicht für geophysikalische Messungen und andere Verfahren anzuwenden.</w:t>
      </w:r>
    </w:p>
    <w:p>
      <w:r>
        <w:rPr>
          <w:color w:val="555555"/>
          <w:sz w:val="17"/>
        </w:rPr>
        <w:t xml:space="preserve">Zitiervorschlag: § 7 MarkschBergV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https://recht.nulegal.eu/gesetze/MarkschBergV/7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