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MarkschBergV — Anforderungen an Messungen von bergbaubedingten Bodenbewegungen</w:t>
      </w:r>
    </w:p>
    <w:p>
      <w:r>
        <w:rPr>
          <w:color w:val="555555"/>
          <w:sz w:val="18"/>
        </w:rPr>
        <w:t xml:space="preserve">Markscheider-Bergverordnung</w:t>
      </w:r>
    </w:p>
    <w:p>
      <w:r>
        <w:rPr>
          <w:color w:val="555555"/>
          <w:sz w:val="18"/>
        </w:rPr>
        <w:t xml:space="preserve">Stand: 29.07.2020 (konsolidierte Textfassung, kein amtliches Inkrafttretensdatum)</w:t>
      </w:r>
    </w:p>
    <w:p>
      <w:r>
        <w:t xml:space="preserve">(1) Für Messungen zur Erfassung von bergbaubedingten Bodenbewegungen sind nur Verfahren zulässig, die für diesen Zweck geeignet sind.</w:t>
      </w:r>
    </w:p>
    <w:p>
      <w:r>
        <w:t xml:space="preserve">(2) Für die Messungen sind die §§ 2 bis 4 und 6 bis 8 entsprechend anzuwenden. § 70 Absatz 1 bis 3 des Bundesberggesetzes ist entsprechend anzuwenden.</w:t>
      </w:r>
    </w:p>
    <w:p>
      <w:r>
        <w:t xml:space="preserve">(3) Messungen nach § 125 Absatz 1 des Bundesberggesetzes sind nach Art, Umfang und zeitlichem Abstand so durchzuführen, dass</w:t>
      </w:r>
    </w:p>
    <w:p>
      <w:pPr>
        <w:ind w:left="420"/>
      </w:pPr>
      <w:r>
        <w:t xml:space="preserve">1. eine zuverlässige Vorhersage über Ausdehnung, Größe und zeitlichen Ablauf zu erwartender Einwirkungen auf die Oberfläche durch Bergbaubetriebe und ihre Auswirkungen auf bauliche Anlagen ermöglicht wird und</w:t>
      </w:r>
    </w:p>
    <w:p>
      <w:pPr>
        <w:ind w:left="420"/>
      </w:pPr>
      <w:r>
        <w:t xml:space="preserve">2. eingetretene Einwirkungen dieser Art in gleicher Hinsicht zuverlässig beobachtet werden können.</w:t>
      </w:r>
    </w:p>
    <w:p>
      <w:r>
        <w:t xml:space="preserve">Entsprechend sind auch die Ergebnisse der Messungen darzustellen.</w:t>
      </w:r>
    </w:p>
    <w:p>
      <w:r>
        <w:rPr>
          <w:color w:val="555555"/>
          <w:sz w:val="17"/>
        </w:rPr>
        <w:t xml:space="preserve">Zitiervorschlag: § 15 MarkschBergV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https://recht.nulegal.eu/gesetze/MarkschBergV/15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