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MarkschBergV — Nachtragungsfristen für das Risswerk</w:t>
      </w:r>
    </w:p>
    <w:p>
      <w:r>
        <w:rPr>
          <w:color w:val="555555"/>
          <w:sz w:val="18"/>
        </w:rPr>
        <w:t xml:space="preserve">Markscheider-Bergverordnung</w:t>
      </w:r>
    </w:p>
    <w:p>
      <w:r>
        <w:rPr>
          <w:color w:val="555555"/>
          <w:sz w:val="18"/>
        </w:rPr>
        <w:t xml:space="preserve">Stand: 29.07.2020 (konsolidierte Textfassung, kein amtliches Inkrafttretensdatum)</w:t>
      </w:r>
    </w:p>
    <w:p>
      <w:r>
        <w:t xml:space="preserve">(1) Der Unternehmer hat das Risswerk innerhalb der in Anlage 4 Teil 1 festgesetzten Fristen vollständig nachtragen und die Angaben nach Anlage 4 Teil 2 unverzüglich eintragen zu lassen. Die zwei Stücke des Risswerks (§ 63 Absatz 1 Satz 1 des Bundesberggesetzes) müssen zum Zeitpunkt der Anfertigung und der vorgeschriebenen Nachtragungen inhaltsgleich sein. Das Einreichen an die zuständige Behörde (§ 63 Absatz 3 Satz 1 des Bundesberggesetzes) hat unverzüglich nach der Anfertigung und der Nachtragung zu erfolgen.</w:t>
      </w:r>
    </w:p>
    <w:p>
      <w:r>
        <w:t xml:space="preserve">(2) Der Unternehmer hat sicherzustellen, dass</w:t>
      </w:r>
    </w:p>
    <w:p>
      <w:pPr>
        <w:ind w:left="420"/>
      </w:pPr>
      <w:r>
        <w:t xml:space="preserve">1. diejenigen Auszüge aus dem Risswerk oder andere auf der Grundlage des Risswerks angefertigte rissliche Darstellungen, die den Anträgen auf Zulassung von Betriebsplänen oder sonstigen sicherheitlich bedeutsamen Anträgen beizufügen sind, zum Zeitpunkt der Antragstellung vollständig nachgetragen sind und im Übrigen mit den Eintragungen im Risswerk übereinstimmen und</w:t>
      </w:r>
    </w:p>
    <w:p>
      <w:pPr>
        <w:ind w:left="420"/>
      </w:pPr>
      <w:r>
        <w:t xml:space="preserve">2. das Risswerk bis zum Ende der Bergaufsicht vollständig nachgetragen und abgeschlossen wird; soweit die Bergaufsicht über Teile des Betriebes endet, kann für diese auf Antrag des Unternehmers und Zustimmung der zuständigen Behörde entsprechend verfahren werden.</w:t>
      </w:r>
    </w:p>
    <w:p>
      <w:r>
        <w:t xml:space="preserve">Satz 1 Nummer 2 ist nicht für Betriebe anzuwenden, bei denen bis zum Inkrafttreten dieser Verordnung das Risswerk vollständig nachgetragen und abgeschlossen wurde. Der zuständigen Behörde hat er auf Verlangen zusätzliche Unterlagen einzureichen, soweit sie für die Nachvollziehbarkeit des Risswerks erforderlich sind.</w:t>
      </w:r>
    </w:p>
    <w:p>
      <w:r>
        <w:t xml:space="preserve">(3) Die zuständige Behörde kann die Fristen nach Anlage 4 Teil 1 in Einzelfällen verkürzen oder verlängern, wenn, auch unter Berücksichtigung des Abbaufortschritts, dies erfordert oder zulässt:</w:t>
      </w:r>
    </w:p>
    <w:p>
      <w:pPr>
        <w:ind w:left="420"/>
      </w:pPr>
      <w:r>
        <w:t xml:space="preserve">a) der Schutz Beschäftigter oder Dritter vor Gefahren im Betrieb,</w:t>
      </w:r>
    </w:p>
    <w:p>
      <w:pPr>
        <w:ind w:left="420"/>
      </w:pPr>
      <w:r>
        <w:t xml:space="preserve">b) der Schutz der Oberfläche im Interesse der persönlichen Sicherheit oder des öffentlichen Verkehrs oder</w:t>
      </w:r>
    </w:p>
    <w:p>
      <w:pPr>
        <w:ind w:left="420"/>
      </w:pPr>
      <w:r>
        <w:t xml:space="preserve">c) die Durchführung der Bergaufsicht.</w:t>
      </w:r>
    </w:p>
    <w:p>
      <w:r>
        <w:rPr>
          <w:color w:val="555555"/>
          <w:sz w:val="17"/>
        </w:rPr>
        <w:t xml:space="preserve">Zitiervorschlag: § 10 MarkschBergV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https://recht.nulegal.eu/gesetze/MarkschBergV/10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