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MarkschBergV — Anwendungsbereich</w:t>
      </w:r>
    </w:p>
    <w:p>
      <w:r>
        <w:rPr>
          <w:color w:val="555555"/>
          <w:sz w:val="18"/>
        </w:rPr>
        <w:t xml:space="preserve">Markscheider-Bergverordnung</w:t>
      </w:r>
    </w:p>
    <w:p>
      <w:r>
        <w:rPr>
          <w:color w:val="555555"/>
          <w:sz w:val="18"/>
        </w:rPr>
        <w:t xml:space="preserve">Stand: 29.07.2020 (konsolidierte Textfassung, kein amtliches Inkrafttretensdatum)</w:t>
      </w:r>
    </w:p>
    <w:p>
      <w:r>
        <w:t xml:space="preserve">Diese Verordnung gilt für</w:t>
      </w:r>
    </w:p>
    <w:p>
      <w:pPr>
        <w:ind w:left="420"/>
      </w:pPr>
      <w:r>
        <w:t xml:space="preserve">1. markscheiderische und sonstige vermessungstechnische Arbeiten im Zusammenhang mit Tätigkeiten und Einrichtungen nach § 2 des Bundesberggesetzes,</w:t>
      </w:r>
    </w:p>
    <w:p>
      <w:pPr>
        <w:ind w:left="420"/>
      </w:pPr>
      <w:r>
        <w:t xml:space="preserve">2. Messungen zur Erfassung von bergbaubedingten Bodenbewegungen.</w:t>
      </w:r>
    </w:p>
    <w:p>
      <w:r>
        <w:rPr>
          <w:color w:val="555555"/>
          <w:sz w:val="17"/>
        </w:rPr>
        <w:t xml:space="preserve">Zitiervorschlag: § 1 MarkschBergV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https://recht.nulegal.eu/gesetze/MarkschBergV/1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