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MarketKfmAusbV — Ausbildungsrahmenplan</w:t>
      </w:r>
    </w:p>
    <w:p>
      <w:r>
        <w:rPr>
          <w:color w:val="555555"/>
          <w:sz w:val="18"/>
        </w:rPr>
        <w:t xml:space="preserve">Verordnung über die Berufsausbildung zum Kaufmann für Marketingkommunikation/zur Kauffrau für Marketingkommunikation</w:t>
      </w:r>
    </w:p>
    <w:p>
      <w:r>
        <w:rPr>
          <w:color w:val="555555"/>
          <w:sz w:val="18"/>
        </w:rPr>
        <w:t xml:space="preserve">Stand: 10.06.2019 (konsolidierte Textfassung, kein amtliches Inkrafttretensdatum)</w:t>
      </w:r>
    </w:p>
    <w:p>
      <w:r>
        <w:t xml:space="preserve">Die Fertigkeiten, Kenntnisse und Fähigkeiten nach § 4 sollen nach den in den Anlagen 1 und 2 enthaltenen Anleitungen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rPr>
          <w:color w:val="555555"/>
          <w:sz w:val="17"/>
        </w:rPr>
        <w:t xml:space="preserve">Zitiervorschlag: § 5 MarketKfmAusbV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https://recht.nulegal.eu/gesetze/MarketKfmAusbV/5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