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MarketGestAusbV — Zwischenprüfung</w:t>
      </w:r>
    </w:p>
    <w:p>
      <w:r>
        <w:rPr>
          <w:color w:val="555555"/>
          <w:sz w:val="18"/>
        </w:rPr>
        <w:t xml:space="preserve">Verordnung über die Berufsausbildung zum Gestalter für visuelles Marketing/zur Gestalterin für visuelles Marketing</w:t>
      </w:r>
    </w:p>
    <w:p>
      <w:r>
        <w:rPr>
          <w:color w:val="555555"/>
          <w:sz w:val="18"/>
        </w:rPr>
        <w:t xml:space="preserve">Stand: 10.06.2019 (konsolidierte Textfassung, kein amtliches Inkrafttretensdatum)</w:t>
      </w:r>
    </w:p>
    <w:p>
      <w:r>
        <w:t xml:space="preserve">(1) Zur Ermittlung des Ausbildungsstandes ist eine Zwischenprüfung durchzuführen. Sie soll in der Mitte des zweiten Ausbildungsjahres stattfinden.</w:t>
      </w:r>
    </w:p>
    <w:p>
      <w:r>
        <w:t xml:space="preserve">(2) Die Zwischenprüfung erstreckt sich auf die in den Anlagen 1 und 2 für das erste Ausbildungsjahr aufgeführten Fertigkeiten und Kenntnisse sowie auf den im Berufsschulunterricht entsprechend dem Rahmenlehrplan zu vermittelnden Lehrstoff, soweit er für die Berufsausbildung wesentlich ist.</w:t>
      </w:r>
    </w:p>
    <w:p>
      <w:r>
        <w:t xml:space="preserve">(3) Die Zwischenprüfung ist schriftlich in höchstens 180 Minuten durchzuführen. Der Prüfling soll grundlegende praxisbezogene Aufgaben der visuellen Verkaufsförderung bearbeiten und dabei insbesondere eine Gestaltungsidee entwickeln und begründen. Dabei soll der Prüfling zeigen, dass er Skizzen erstellen und nutzen, Arbeitsabläufe planen und dokumentieren, Arbeitsmittel festlegen sowie Anforderungen der Arbeitssicherheit und des Umweltschutzes berücksichtigen kann.</w:t>
      </w:r>
    </w:p>
    <w:p>
      <w:r>
        <w:rPr>
          <w:color w:val="555555"/>
          <w:sz w:val="17"/>
        </w:rPr>
        <w:t xml:space="preserve">Zitiervorschlag: § 8 MarketGestAusbV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https://recht.nulegal.eu/gesetze/MarketGestAusbV/8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