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MarketFachwPrV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Fortbildungsabschluss Geprüfter Fachwirt für Marketing und Geprüfte Fachwirtin für Marketing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6 und 7 außer Betracht. Für die übrigen Prüfungsbestandteile erhöhen sich die Anteile nach § 6 Absatz 2 Satz 2 oder § 7 Absatz 4 Satz 1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5 MarketFachwPrV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https://recht.nulegal.eu/gesetze/MarketFachwPrV/5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