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MarketFachwPrV — Zulassungsvoraussetzungen</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10.06.2019 bis 28.09.2023. Dies ist nicht die aktuelle Fassung.</w:t>
      </w:r>
    </w:p>
    <w:p>
      <w:r>
        <w:t xml:space="preserve">(1) Zur Prüfung ist zuzulassen, wer</w:t>
      </w:r>
    </w:p>
    <w:p>
      <w:pPr>
        <w:ind w:left="420"/>
      </w:pPr>
      <w:r>
        <w:t xml:space="preserve">1. eine mit Erfolg abgelegte Abschlussprüfung in dem anerkannten Ausbildungsberuf zum Kaufmann für Marketingkommunikation oder zur Kauffrau für Marketingkommunikation und danach eine mindestens einjährige Berufspraxis oder</w:t>
      </w:r>
    </w:p>
    <w:p>
      <w:pPr>
        <w:ind w:left="420"/>
      </w:pPr>
      <w:r>
        <w:t xml:space="preserve">2. eine mit Erfolg abgelegte Abschlussprüfung in einem anderen anerkannten dreijährigen kaufmännischen oder verwaltenden Ausbildungsberuf und danach eine mindestens zweijährige Berufspraxis oder</w:t>
      </w:r>
    </w:p>
    <w:p>
      <w:pPr>
        <w:ind w:left="420"/>
      </w:pPr>
      <w:r>
        <w:t xml:space="preserve">3. eine mit Erfolg abgelegte Abschlussprüfung in einem anderen anerkannten Ausbildungsberuf und danach eine mindestens dreijährige Berufspraxis oder</w:t>
      </w:r>
    </w:p>
    <w:p>
      <w:pPr>
        <w:ind w:left="420"/>
      </w:pPr>
      <w:r>
        <w:t xml:space="preserve">4. eine mindestens fünfjährige Berufspraxis</w:t>
      </w:r>
    </w:p>
    <w:p>
      <w:r>
        <w:t xml:space="preserve">nachweist.</w:t>
      </w:r>
    </w:p>
    <w:p>
      <w:r>
        <w:t xml:space="preserve">(2) Die Berufspraxis nach Absatz 1 muss inhaltlich wesentliche Bezüge zu den in § 1 Absatz 2 genannten Aufgaben haben.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