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MarketFachwPrV — Ausbildereignung</w:t>
      </w:r>
    </w:p>
    <w:p>
      <w:r>
        <w:rPr>
          <w:color w:val="555555"/>
          <w:sz w:val="18"/>
        </w:rPr>
        <w:t xml:space="preserve">Verordnung über die Prüfung zum anerkannten Fortbildungsabschluss Geprüfter Fachwirt für Marketing und Geprüfte Fachwirtin für Marketing</w:t>
      </w:r>
    </w:p>
    <w:p>
      <w:r>
        <w:rPr>
          <w:color w:val="555555"/>
          <w:sz w:val="18"/>
        </w:rPr>
        <w:t xml:space="preserve">Historische Fassung: Stand 10.01.2020 bis 28.09.2023. Dies ist nicht die aktuelle Fassung.</w:t>
      </w:r>
    </w:p>
    <w:p>
      <w:r>
        <w:t xml:space="preserve">Wer die Prüfung nach dieser Verordnung bestanden hat, ist vom schriftlichen Teil der Prüfung der nach dem Berufsbildungsgesetz erlassenen Ausbilder-Eignungsverordnung befreit.</w:t>
      </w:r>
    </w:p>
    <w:p>
      <w:r>
        <w:rPr>
          <w:color w:val="555555"/>
          <w:sz w:val="17"/>
        </w:rPr>
        <w:t xml:space="preserve">Zitiervorschlag: § 10 MarketFachwPrV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https://recht.nulegal.eu/gesetze/MarketFachwPrV/10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