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MarketFachwBAProFV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im Einvernehmen mit dem Bundesministerium für Wirtschaft und Klimaschutz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