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MarketFachwBAProFV — (zu § 14) Zeugnisinhalte</w:t>
      </w:r>
    </w:p>
    <w:p>
      <w:r>
        <w:rPr>
          <w:color w:val="555555"/>
          <w:sz w:val="18"/>
        </w:rPr>
        <w:t xml:space="preserve">Marketingfachwirt-Bachelor-Professional-Fortbildungsverordnung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254, S. 9)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schriftlichen und der mündlichen Prüfung,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13,</w:t>
      </w:r>
    </w:p>
    <w:p>
      <w:pPr>
        <w:ind w:left="420"/>
      </w:pPr>
      <w:r>
        <w:t xml:space="preserve">13. Bescheinigung der Befreiung vom schriftlichen Teil der Prüfung nach der Ausbilder-Eignungsverordnung nach § 16.</w:t>
      </w:r>
    </w:p>
    <w:p>
      <w:r>
        <w:rPr>
          <w:color w:val="555555"/>
          <w:sz w:val="17"/>
        </w:rPr>
        <w:t xml:space="preserve">Zitiervorschlag: Anlage 2 MarketFachwBAProFV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https://recht.nulegal.eu/gesetze/MarketFachwBAProFV/anlage-2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