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MarketFachwBAProFV — (zu den §§ 11 und 12) Bewertungsmaßstab und -schlüssel</w:t>
      </w:r>
    </w:p>
    <w:p>
      <w:r>
        <w:rPr>
          <w:color w:val="555555"/>
          <w:sz w:val="18"/>
        </w:rPr>
        <w:t xml:space="preserve">Marketingfachwirt-Bachelor-Professional-Fortbildungsverordnung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(Fundstelle: BGBl. 2023 I Nr. 254, S. 7 - 8)</w:t>
      </w:r>
    </w:p>
    <w:p>
      <w:r>
        <w:rPr>
          <w:rFonts w:ascii="Courier New" w:hAnsi="Courier New"/>
          <w:sz w:val="17"/>
        </w:rPr>
        <w:t xml:space="preserve">Punkte    Note 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MarketFachwBAProFV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https://recht.nulegal.eu/gesetze/MarketFachwBAProFV/anlage-1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