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MarketFachwBAProFV — Schriftliche Prüfung</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aufeinander abzustimmen und so zu gestalten, dass jeder Prüfungsbereich nach § 3 insgesamt mindestens einmal thematisiert wird. Die Aufgabenstellungen müssen der zu prüfenden Person eigenständig entwickelte Lösungen ermöglichen.</w:t>
      </w:r>
    </w:p>
    <w:p>
      <w:r>
        <w:t xml:space="preserve">(2) Die schriftliche Prüfung besteht aus zwei Prüfungsleistungen in Form von zwei schriftlich unter Aufsicht zu bearbeitenden Aufgabenstellungen.</w:t>
      </w:r>
    </w:p>
    <w:p>
      <w:r>
        <w:t xml:space="preserve">(3) Die Bearbeitungszeit beträgt für jede Aufgabenstellung 300 Minuten.</w:t>
      </w:r>
    </w:p>
    <w:p>
      <w:r>
        <w:rPr>
          <w:color w:val="555555"/>
          <w:sz w:val="17"/>
        </w:rPr>
        <w:t xml:space="preserve">Zitiervorschlag: § 9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