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MarketFachwBAProFV — Form und Ablauf der Prüfung</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Die Prüfung gliedert sich in</w:t>
      </w:r>
    </w:p>
    <w:p>
      <w:pPr>
        <w:ind w:left="420"/>
      </w:pPr>
      <w:r>
        <w:t xml:space="preserve">1. eine schriftliche Prüfung nach § 9 und</w:t>
      </w:r>
    </w:p>
    <w:p>
      <w:pPr>
        <w:ind w:left="420"/>
      </w:pPr>
      <w:r>
        <w:t xml:space="preserve">2. eine mündliche Prüfung nach § 10.</w:t>
      </w:r>
    </w:p>
    <w:p>
      <w:r>
        <w:t xml:space="preserve">(2) Die mündliche Prüfung kann erst abgelegt werden, nachdem die schriftliche Prüfung abgelegt worden ist. Das Prüfungsverfahren ist innerhalb von zwei Jahren, beginnend mit dem Tag der ersten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8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