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MarketFachwBAProFV — Befreiung vom schriftlichen Teil der Ausbildereignungsprüfung</w:t>
      </w:r>
    </w:p>
    <w:p>
      <w:r>
        <w:rPr>
          <w:color w:val="555555"/>
          <w:sz w:val="18"/>
        </w:rPr>
        <w:t xml:space="preserve">Marketingfachwirt-Bachelor-Professional-Fortbildungsverordnung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Wer die Prüfung nach dieser Verordnung bestanden hat, ist vom schriftlichen Teil der Prüfung nach der Ausbilder-Eignungsverordnung befreit.</w:t>
      </w:r>
    </w:p>
    <w:p>
      <w:r>
        <w:rPr>
          <w:color w:val="555555"/>
          <w:sz w:val="17"/>
        </w:rPr>
        <w:t xml:space="preserve">Zitiervorschlag: § 16 MarketFachwBAProFV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https://recht.nulegal.eu/gesetze/MarketFachwBAProFV/16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