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MarkenV 2004 — Markendarstellung</w:t>
      </w:r>
    </w:p>
    <w:p>
      <w:r>
        <w:rPr>
          <w:color w:val="555555"/>
          <w:sz w:val="18"/>
        </w:rPr>
        <w:t xml:space="preserve">Markenverordnung</w:t>
      </w:r>
    </w:p>
    <w:p>
      <w:r>
        <w:rPr>
          <w:color w:val="555555"/>
          <w:sz w:val="18"/>
        </w:rPr>
        <w:t xml:space="preserve">Stand: 10.06.2019 (konsolidierte Textfassung, kein amtliches Inkrafttretensdatum)</w:t>
      </w:r>
    </w:p>
    <w:p>
      <w:r>
        <w:t xml:space="preserve">(1) Die Marke bedarf einer Darstellung, die den Erfordernissen des § 8 Absatz 1 des Markengesetzes genügt. Die Darstellung kann in Papierform oder auf einem Datenträger eingereicht werden. Der Datenträger muss vom Deutschen Patent- und Markenamt auslesbar sein. Die beim Deutschen Patent- und Markenamt lesbaren Datenträgertypen und Formatierungen werden auf der Internetseite www.dpma.de bekannt gegeben. Ist nach Maßgabe dieser Verordnung die Einreichung mehrerer Ansichten möglich, müssen alle Ansichten in einer einzigen Datei enthalten sein. Ist der Datenträger nicht lesbar, gilt die Darstellung als nicht eingereicht.</w:t>
      </w:r>
    </w:p>
    <w:p>
      <w:r>
        <w:t xml:space="preserve">(2) Bei sonstigen Marken, die sich nicht anderweitig darstellen lassen, ist eine Darstellung durch Text als alleiniges Darstellungsmittel möglich, wenn der Text den Gegenstand des Schutzes der Marke nach § 8 Absatz 1 des Markengesetzes klar und eindeutig bestimmbar macht. Der Text darf bis zu 150 Wörter umfassen, muss fortlaufend sein und darf keine grafischen oder sonstigen Gestaltungselemente enthalten.</w:t>
      </w:r>
    </w:p>
    <w:p>
      <w:r>
        <w:t xml:space="preserve">(3) Ist die Darstellung einer Markenform durch verschiedene Mittel möglich, entscheidet der Anmelder über die Art der Darstellung. Wird die gleiche Darstellung der Marke auf Papier und auf einem Datenträger eingereicht, ist die Darstellung auf einem Datenträger für den Schutzgegenstand maßgeblich. Für die Bestimmung des Anmeldetages ist in den Fällen des Satzes 2 das zuerst eingereichte Darstellungsmittel maßgeblich.</w:t>
      </w:r>
    </w:p>
    <w:p>
      <w:r>
        <w:rPr>
          <w:color w:val="555555"/>
          <w:sz w:val="17"/>
        </w:rPr>
        <w:t xml:space="preserve">Zitiervorschlag: § 6a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