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MarkenV 2004 — Angaben zur Markenform</w:t>
      </w:r>
    </w:p>
    <w:p>
      <w:r>
        <w:rPr>
          <w:color w:val="555555"/>
          <w:sz w:val="18"/>
        </w:rPr>
        <w:t xml:space="preserve">Markenverordnung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der Anmeldung ist anzugeben, ob die Marke als</w:t>
      </w:r>
    </w:p>
    <w:p>
      <w:pPr>
        <w:ind w:left="420"/>
      </w:pPr>
      <w:r>
        <w:t xml:space="preserve">1. Wortmarke (§ 7),</w:t>
      </w:r>
    </w:p>
    <w:p>
      <w:pPr>
        <w:ind w:left="420"/>
      </w:pPr>
      <w:r>
        <w:t xml:space="preserve">2. Bildmarke (§ 8),</w:t>
      </w:r>
    </w:p>
    <w:p>
      <w:pPr>
        <w:ind w:left="420"/>
      </w:pPr>
      <w:r>
        <w:t xml:space="preserve">3. dreidimensionale Marke (§ 9),</w:t>
      </w:r>
    </w:p>
    <w:p>
      <w:pPr>
        <w:ind w:left="420"/>
      </w:pPr>
      <w:r>
        <w:t xml:space="preserve">4. Farbmarke (§ 10),</w:t>
      </w:r>
    </w:p>
    <w:p>
      <w:pPr>
        <w:ind w:left="420"/>
      </w:pPr>
      <w:r>
        <w:t xml:space="preserve">5. Klangmarke (§ 11),</w:t>
      </w:r>
    </w:p>
    <w:p>
      <w:pPr>
        <w:ind w:left="420"/>
      </w:pPr>
      <w:r>
        <w:t xml:space="preserve">6. Positionsmarke, Kennfadenmarke, Mustermarke, Bewegungsmarke, Multimediamarke, Hologrammmarke (§ 12) oder</w:t>
      </w:r>
    </w:p>
    <w:p>
      <w:pPr>
        <w:ind w:left="420"/>
      </w:pPr>
      <w:r>
        <w:t xml:space="preserve">7. sonstige Marke (§ 12a)</w:t>
      </w:r>
    </w:p>
    <w:p>
      <w:r>
        <w:t xml:space="preserve">in das Register eingetragen werden soll.</w:t>
      </w:r>
    </w:p>
    <w:p>
      <w:r>
        <w:rPr>
          <w:color w:val="555555"/>
          <w:sz w:val="17"/>
        </w:rPr>
        <w:t xml:space="preserve">Zitiervorschlag: § 6 MarkenV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https://recht.nulegal.eu/gesetze/MarkenV%202004/6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