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MarkenV 2004 — Übergangsregelung aus Anlass des Inkrafttretens dieser Verordnung</w:t>
      </w:r>
    </w:p>
    <w:p>
      <w:r>
        <w:rPr>
          <w:color w:val="555555"/>
          <w:sz w:val="18"/>
        </w:rPr>
        <w:t xml:space="preserve">Markenverordnung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Markenanmeldungen, die vor Inkrafttreten dieser Verordnung eingereicht worden sind, gelten die Vorschriften der Markenverordnung vom 30. November 1994 (BGBl. I S. 3555), zuletzt geändert durch die Verordnung vom 1. September 2003 (BGBl. I S. 1701).</w:t>
      </w:r>
    </w:p>
    <w:p>
      <w:r>
        <w:rPr>
          <w:color w:val="555555"/>
          <w:sz w:val="17"/>
        </w:rPr>
        <w:t xml:space="preserve">Zitiervorschlag: § 56 MarkenV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https://recht.nulegal.eu/gesetze/MarkenV%202004/56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