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MarkenV 2004 — Akteneinsicht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28.06.2024 (konsolidierte Textfassung, kein amtliches Inkrafttretensdatum)</w:t>
      </w:r>
    </w:p>
    <w:p>
      <w:r>
        <w:t xml:space="preserve">In den Verfahren nach der Verordnung (EU) 2024/1143 gewährt das Deutsche Patent- und Markenamt Einsicht in die Akten.</w:t>
      </w:r>
    </w:p>
    <w:p>
      <w:r>
        <w:rPr>
          <w:color w:val="555555"/>
          <w:sz w:val="17"/>
        </w:rPr>
        <w:t xml:space="preserve">Zitiervorschlag: § 54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