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MarkenV 2004 — Nationaler Einspruch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Der Einspruch nach § 130 Absatz 4 des Markengesetzes in der vor dem 16. Januar 2026 geltenden Fassung in Verbindung mit Artikel 10 Absatz 4 der Verordnung (EU) 2024/1143 soll unter Verwendung des vom Deutschen Patent- und Markenamt herausgegebenen Formblatts eingereicht werden.</w:t>
      </w:r>
    </w:p>
    <w:p>
      <w:r>
        <w:t xml:space="preserve">(2) In der Einspruchsschrift sind anzugeben:</w:t>
      </w:r>
    </w:p>
    <w:p>
      <w:pPr>
        <w:ind w:left="420"/>
      </w:pPr>
      <w:r>
        <w:t xml:space="preserve">1. die geografische Angabe oder Ursprungsbezeichnung, gegen deren Eintragung sich der Einspruch richtet,</w:t>
      </w:r>
    </w:p>
    <w:p>
      <w:pPr>
        <w:ind w:left="420"/>
      </w:pPr>
      <w:r>
        <w:t xml:space="preserve">2. der Name und die Anschrift des Einsprechenden,</w:t>
      </w:r>
    </w:p>
    <w:p>
      <w:pPr>
        <w:ind w:left="420"/>
      </w:pPr>
      <w:r>
        <w:t xml:space="preserve">3. falls ein Vertreter bestellt worden ist, der Name und die Anschrift des Vertreters,</w:t>
      </w:r>
    </w:p>
    <w:p>
      <w:pPr>
        <w:ind w:left="420"/>
      </w:pPr>
      <w:r>
        <w:t xml:space="preserve">4. die Umstände, aus denen sich das berechtigte Interesse des Einsprechenden ergibt,</w:t>
      </w:r>
    </w:p>
    <w:p>
      <w:pPr>
        <w:ind w:left="420"/>
      </w:pPr>
      <w:r>
        <w:t xml:space="preserve">5. die Gründe, auf die sich der Einspruch stützt.</w:t>
      </w:r>
    </w:p>
    <w:p>
      <w:r>
        <w:rPr>
          <w:color w:val="555555"/>
          <w:sz w:val="17"/>
        </w:rPr>
        <w:t xml:space="preserve">Zitiervorschlag: § 49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