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42c MarkenV 2004 — Erklärung der Lizenzierungs- oder Veräußerungsbereitschaft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Anmelder oder der im Register eingetragene Markeninhaber kann gegenüber dem Deutschen Patent- und Markenamt seine unverbindliche Bereitschaft zur Vergabe von Lizenzen oder zur Veräußerung des Markenrechts schriftlich erklären. Die Erklärung wird in das Register eingetragen.</w:t>
      </w:r>
    </w:p>
    <w:p>
      <w:r>
        <w:t xml:space="preserve">(2) Die Erklärung der Bereitschaft zur Vergabe von Lizenzen ist unzulässig, solange im Register ein Vermerk über die Einräumung einer ausschließlichen Lizenz eingetragen ist oder dem Deutschen Patent- und Markenamt ein Antrag auf Eintragung eines solchen Vermerks vorliegt.</w:t>
      </w:r>
    </w:p>
    <w:p>
      <w:r>
        <w:t xml:space="preserve">(3) Erklärungen nach Absatz 1 können jederzeit gegenüber dem Deutschen Patent- und Markenamt schriftlich zurückgenommen werden.</w:t>
      </w:r>
    </w:p>
    <w:p>
      <w:r>
        <w:rPr>
          <w:color w:val="555555"/>
          <w:sz w:val="17"/>
        </w:rPr>
        <w:t xml:space="preserve">Zitiervorschlag: § 42c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https://recht.nulegal.eu/gesetze/MarkenV%202004/42c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