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42b MarkenV 2004 — Änderung oder Löschung einer Lizenz</w:t>
      </w:r>
    </w:p>
    <w:p>
      <w:r>
        <w:rPr>
          <w:color w:val="555555"/>
          <w:sz w:val="18"/>
        </w:rPr>
        <w:t xml:space="preserve">Markenverordnung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Antrag auf Änderung oder Löschung einer nach § 30 Absatz 6 des Markengesetzes eingetragenen Lizenz muss die Registernummer der Marke und die Bezeichnung der Lizenz, die geändert oder gelöscht werden soll, enthalten.</w:t>
      </w:r>
    </w:p>
    <w:p>
      <w:r>
        <w:rPr>
          <w:color w:val="555555"/>
          <w:sz w:val="17"/>
        </w:rPr>
        <w:t xml:space="preserve">Zitiervorschlag: § 42b MarkenV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https://recht.nulegal.eu/gesetze/MarkenV%202004/42b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