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MarkenV 2004 — Anmeldung von Kollektiv- oder Gewährleistungsmarken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Falls die Eintragung als Kollektiv- oder Gewährleistungsmarke beantragt wird, muss eine entsprechende Erklärung bei der Anmeldung abgegeben werden.</w:t>
      </w:r>
    </w:p>
    <w:p>
      <w:r>
        <w:t xml:space="preserve">(2) Kollektivmarken- oder Gewährleistungsmarkensatzungen in Papier sind ungebunden einzureichen.</w:t>
      </w:r>
    </w:p>
    <w:p>
      <w:r>
        <w:t xml:space="preserve">(3) Im Fall von Änderungen von Kollektivmarken- oder Gewährleistungsmarkensatzungen ist jeweils eine aktuelle Fassung der Satzung einzureichen.</w:t>
      </w:r>
    </w:p>
    <w:p>
      <w:r>
        <w:t xml:space="preserve">(4) Die Absätze 2 und 3 gelten auch für Satzungsänderungen nach Eintragung.</w:t>
      </w:r>
    </w:p>
    <w:p>
      <w:r>
        <w:rPr>
          <w:color w:val="555555"/>
          <w:sz w:val="17"/>
        </w:rPr>
        <w:t xml:space="preserve">Zitiervorschlag: § 4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