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39 MarkenV 2004 — Verzicht</w:t>
      </w:r>
    </w:p>
    <w:p>
      <w:r>
        <w:rPr>
          <w:color w:val="555555"/>
          <w:sz w:val="18"/>
        </w:rPr>
        <w:t xml:space="preserve">Markenverordnung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Der Antrag auf vollständige oder teilweise Löschung einer Marke nach § 48 Abs. 1 des Markengesetzes soll unter Verwendung des vom Deutschen Patent- und Markenamt herausgegebenen Formblatts gestellt werden.</w:t>
      </w:r>
    </w:p>
    <w:p>
      <w:r>
        <w:t xml:space="preserve">(2) In dem Antrag sind anzugeben:</w:t>
      </w:r>
    </w:p>
    <w:p>
      <w:pPr>
        <w:ind w:left="420"/>
      </w:pPr>
      <w:r>
        <w:t xml:space="preserve">1. die Registernummer der Marke, die ganz oder teilweise gelöscht werden soll,</w:t>
      </w:r>
    </w:p>
    <w:p>
      <w:pPr>
        <w:ind w:left="420"/>
      </w:pPr>
      <w:r>
        <w:t xml:space="preserve">2. der Name und die Anschrift des Inhabers der Marke,</w:t>
      </w:r>
    </w:p>
    <w:p>
      <w:pPr>
        <w:ind w:left="420"/>
      </w:pPr>
      <w:r>
        <w:t xml:space="preserve">3. falls ein Vertreter bestellt ist, der Name und die Anschrift des Vertreters,</w:t>
      </w:r>
    </w:p>
    <w:p>
      <w:pPr>
        <w:ind w:left="420"/>
      </w:pPr>
      <w:r>
        <w:t xml:space="preserve">4. falls eine Teillöschung beantragt wird, entweder die Waren und Dienstleistungen, die gelöscht werden sollen, oder die Waren und Dienstleistungen, für die die Marke nicht gelöscht werden soll.</w:t>
      </w:r>
    </w:p>
    <w:p>
      <w:r>
        <w:rPr>
          <w:color w:val="555555"/>
          <w:sz w:val="17"/>
        </w:rPr>
        <w:t xml:space="preserve">Zitiervorschlag: § 39 MarkenV 2004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https://recht.nulegal.eu/gesetze/MarkenV%202004/39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