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MarkenV 2004 — Rechtsübergang, dingliche Rechte, Insolvenzverfahren und Maßnahmen der Zwangsvollstreckung bei Anmeldungen</w:t>
      </w:r>
    </w:p>
    <w:p>
      <w:r>
        <w:rPr>
          <w:color w:val="555555"/>
          <w:sz w:val="18"/>
        </w:rPr>
        <w:t xml:space="preserve">Markenverordnung</w:t>
      </w:r>
    </w:p>
    <w:p>
      <w:r>
        <w:rPr>
          <w:color w:val="555555"/>
          <w:sz w:val="18"/>
        </w:rPr>
        <w:t xml:space="preserve">Stand: 10.06.2019 (konsolidierte Textfassung, kein amtliches Inkrafttretensdatum)</w:t>
      </w:r>
    </w:p>
    <w:p>
      <w:r>
        <w:t xml:space="preserve">(1) Der Übergang von Rechten, dingliche Rechte, Maßnahmen der Zwangsvollstreckung oder Insolvenzverfahren werden in den Akten der Anmeldung vermerkt.</w:t>
      </w:r>
    </w:p>
    <w:p>
      <w:r>
        <w:t xml:space="preserve">(2) Im Fall von Rechtsübergängen wird nur diejenige Person in das Register eingetragen, die zum Zeitpunkt der Eintragung Inhaberin der Marke ist. Ein zum Zeitpunkt der Eintragung bestehendes dingliches Recht, eine zu diesem Zeitpunkt bestehende Maßnahme der Zwangsvollstreckung oder ein zu diesem Zeitpunkt anhängiges Insolvenzverfahren wird auch in das Register eingetragen.</w:t>
      </w:r>
    </w:p>
    <w:p>
      <w:r>
        <w:t xml:space="preserve">(3) Betrifft der Übergang des durch die Anmeldung einer Marke begründeten Rechts nur einen Teil der Waren und Dienstleistungen, für die die Marke angemeldet worden ist, so sind in dem Antrag auf Vermerk eines Teilübergangs die Waren und Dienstleistungen anzugeben, auf die sich der Rechtsübergang bezieht. Im Übrigen ist § 35 Absatz 1 bis 4 und 6 entsprechend anzuwenden.</w:t>
      </w:r>
    </w:p>
    <w:p>
      <w:r>
        <w:rPr>
          <w:color w:val="555555"/>
          <w:sz w:val="17"/>
        </w:rPr>
        <w:t xml:space="preserve">Zitiervorschlag: § 34 MarkenV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https://recht.nulegal.eu/gesetze/MarkenV%202004/34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