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MarkenV 2004 — Teilübergang einer eingetragenen Marke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Betrifft der Übergang des durch die Eintragung einer Marke begründeten Rechts nur einen Teil der eingetragenen Waren und Dienstleistungen, so sind in dem Antrag auf Eintragung des Rechtsübergangs nach § 28 der DPMA-Verordnung die Waren und Dienstleistungen anzugeben, auf die sich der Rechtsübergang bezieht.</w:t>
      </w:r>
    </w:p>
    <w:p>
      <w:r>
        <w:t xml:space="preserve">(2) Im Übrigen ist § 36 Absatz 1 bis 4 und 6 entsprechend anzuwenden.</w:t>
      </w:r>
    </w:p>
    <w:p>
      <w:r>
        <w:rPr>
          <w:color w:val="555555"/>
          <w:sz w:val="17"/>
        </w:rPr>
        <w:t xml:space="preserve">Zitiervorschlag: § 33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