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MarkenV 2004 — Aussetzung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Deutsche Patent- und Markenamt kann das Verfahren über einen Widerspruch außer in den in § 43 Abs. 3 des Markengesetzes genannten Fällen auch dann aussetzen, wenn dies sachdienlich ist.</w:t>
      </w:r>
    </w:p>
    <w:p>
      <w:r>
        <w:t xml:space="preserve">(2) Eine Aussetzung kommt insbesondere in Betracht, wenn dem Widerspruch voraussichtlich stattzugeben wäre und der Widerspruch auf eine angemeldete Marke gestützt worden ist oder vor dem Deutschen Patent- und Markenamt ein Verfalls- und Nichtigkeitsverfahren anhängig ist.</w:t>
      </w:r>
    </w:p>
    <w:p>
      <w:r>
        <w:rPr>
          <w:color w:val="555555"/>
          <w:sz w:val="17"/>
        </w:rPr>
        <w:t xml:space="preserve">Zitiervorschlag: § 32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