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MarkenV 2004 — Inhalt der Anmeldung</w:t>
      </w:r>
    </w:p>
    <w:p>
      <w:r>
        <w:rPr>
          <w:color w:val="555555"/>
          <w:sz w:val="18"/>
        </w:rPr>
        <w:t xml:space="preserve">Markenverordnung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Anmeldung muss enthalten:</w:t>
      </w:r>
    </w:p>
    <w:p>
      <w:pPr>
        <w:ind w:left="420"/>
      </w:pPr>
      <w:r>
        <w:t xml:space="preserve">1. Angaben zum Anmelder und gegebenenfalls zu seinem Vertreter nach § 5,</w:t>
      </w:r>
    </w:p>
    <w:p>
      <w:pPr>
        <w:ind w:left="420"/>
      </w:pPr>
      <w:r>
        <w:t xml:space="preserve">2. eine Angabe zur Form der Marke nach § 6, eine Darstellung der Marke nach den §§ 7 bis 12 sowie in den Fällen des § 6b Absatz 2 eine Markenbeschreibung und</w:t>
      </w:r>
    </w:p>
    <w:p>
      <w:pPr>
        <w:ind w:left="420"/>
      </w:pPr>
      <w:r>
        <w:t xml:space="preserve">3. das Verzeichnis der Waren und Dienstleistungen, für die die Marke eingetragen werden soll, nach § 20.</w:t>
      </w:r>
    </w:p>
    <w:p>
      <w:r>
        <w:t xml:space="preserve">(2) Wird in der Anmeldung</w:t>
      </w:r>
    </w:p>
    <w:p>
      <w:pPr>
        <w:ind w:left="420"/>
      </w:pPr>
      <w:r>
        <w:t xml:space="preserve">1. die Priorität einer früheren ausländischen Anmeldung in Anspruch genommen, so ist eine entsprechende Erklärung abzugeben sowie der Tag und der Staat dieser Anmeldung anzugeben,</w:t>
      </w:r>
    </w:p>
    <w:p>
      <w:pPr>
        <w:ind w:left="420"/>
      </w:pPr>
      <w:r>
        <w:t xml:space="preserve">2. eine Ausstellungspriorität in Anspruch genommen, so ist eine entsprechende Erklärung abzugeben sowie der Tag der erstmaligen Zurschaustellung und die Ausstellung anzugeben.</w:t>
      </w:r>
    </w:p>
    <w:p>
      <w:r>
        <w:rPr>
          <w:color w:val="555555"/>
          <w:sz w:val="17"/>
        </w:rPr>
        <w:t xml:space="preserve">Zitiervorschlag: § 3 MarkenV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https://recht.nulegal.eu/gesetze/MarkenV%202004/3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