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MarkenV 2004 — Veröffentlichungen zu Eintragungen im Register</w:t>
      </w:r>
    </w:p>
    <w:p>
      <w:r>
        <w:rPr>
          <w:color w:val="555555"/>
          <w:sz w:val="18"/>
        </w:rPr>
        <w:t xml:space="preserve">Markenverordnung</w:t>
      </w:r>
    </w:p>
    <w:p>
      <w:r>
        <w:rPr>
          <w:color w:val="555555"/>
          <w:sz w:val="18"/>
        </w:rPr>
        <w:t xml:space="preserve">Stand: 10.06.2019 (konsolidierte Textfassung, kein amtliches Inkrafttretensdatum)</w:t>
      </w:r>
    </w:p>
    <w:p>
      <w:r>
        <w:t xml:space="preserve">(1) Eintragungen im Register gemäß § 25 werden in regelmäßig erscheinenden Übersichten vom Deutschen Patent- und Markenamt veröffentlicht.</w:t>
      </w:r>
    </w:p>
    <w:p>
      <w:r>
        <w:t xml:space="preserve">(2) Die Veröffentlichung kann in elektronischer Form erfolgen.</w:t>
      </w:r>
    </w:p>
    <w:p>
      <w:r>
        <w:t xml:space="preserve">(3) Die Veröffentlichung der Eintragung umfasst alle in das Register eingetragenen Angaben mit Ausnahme der in § 25 Nummer 20a, 22 Buchstabe b und c, Nummer 24 Buchstabe b und d, Nummer 31 und 34a bis 34c bezeichneten Angaben.</w:t>
      </w:r>
    </w:p>
    <w:p>
      <w:r>
        <w:t xml:space="preserve">(4) Der erstmaligen Veröffentlichung einer eingetragenen Marke ist ein Hinweis auf die Möglichkeit des Widerspruchs (§ 42 des Markengesetzes) beizufügen. Dieser Hinweis wird wiederholt, wenn die eingetragene Marke wegen erheblicher Mängel der Erstveröffentlichung erneut veröffentlicht wird. Der Hinweis kann für alle Marken, die nach den Sätzen 1 und 2 veröffentlicht werden, gemeinsam erfolgen.</w:t>
      </w:r>
    </w:p>
    <w:p>
      <w:r>
        <w:rPr>
          <w:color w:val="555555"/>
          <w:sz w:val="17"/>
        </w:rPr>
        <w:t xml:space="preserve">Zitiervorschlag: § 27 MarkenV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https://recht.nulegal.eu/gesetze/MarkenV%202004/27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