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MarkenV 2004 — Veröffentlichungen zur Anmeldung</w:t>
      </w:r>
    </w:p>
    <w:p>
      <w:r>
        <w:rPr>
          <w:color w:val="555555"/>
          <w:sz w:val="18"/>
        </w:rPr>
        <w:t xml:space="preserve">Markenverordnung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Veröffentlichung der Anmeldung einer Marke umfasst folgende Angaben:</w:t>
      </w:r>
    </w:p>
    <w:p>
      <w:pPr>
        <w:ind w:left="420"/>
      </w:pPr>
      <w:r>
        <w:t xml:space="preserve">1. das Aktenzeichen der Anmeldung,</w:t>
      </w:r>
    </w:p>
    <w:p>
      <w:pPr>
        <w:ind w:left="420"/>
      </w:pPr>
      <w:r>
        <w:t xml:space="preserve">2. das Datum des Eingangs der Anmeldung,</w:t>
      </w:r>
    </w:p>
    <w:p>
      <w:pPr>
        <w:ind w:left="420"/>
      </w:pPr>
      <w:r>
        <w:t xml:space="preserve">3. Angaben über die Marke,</w:t>
      </w:r>
    </w:p>
    <w:p>
      <w:pPr>
        <w:ind w:left="420"/>
      </w:pPr>
      <w:r>
        <w:t xml:space="preserve">4. Angaben zu einer vom Anmelder beanspruchten ausländischen Priorität (§ 34 des Markengesetzes), Ausstellungspriorität (§ 35 des Markengesetzes) oder zu einem nach Artikel 35 der Verordnung (EG) Nr. 207/2009 des Rates vom 26. Februar 2009 über die Unionsmarke (ABl. L 78 vom 24.3.2009, S. 1), die durch die Verordnung (EU) 2015/2424 (ABl. L 341 vom 24.12.2015, S. 21) geändert worden ist, in Anspruch genommenen Zeitrang,</w:t>
      </w:r>
    </w:p>
    <w:p>
      <w:pPr>
        <w:ind w:left="420"/>
      </w:pPr>
      <w:r>
        <w:t xml:space="preserve">5. den Namen, gegebenenfalls die Rechtsform, den Wohnsitz oder Sitz des Anmelders,</w:t>
      </w:r>
    </w:p>
    <w:p>
      <w:pPr>
        <w:ind w:left="420"/>
      </w:pPr>
      <w:r>
        <w:t xml:space="preserve">6. wenn ein Vertreter bestellt ist, den Namen und Sitz des Vertreters,</w:t>
      </w:r>
    </w:p>
    <w:p>
      <w:pPr>
        <w:ind w:left="420"/>
      </w:pPr>
      <w:r>
        <w:t xml:space="preserve">7. die Anschrift mit einer Angabe zum Empfänger sowie</w:t>
      </w:r>
    </w:p>
    <w:p>
      <w:pPr>
        <w:ind w:left="420"/>
      </w:pPr>
      <w:r>
        <w:t xml:space="preserve">8. die Leitklasse und gegebenenfalls weitere Klassen des Verzeichnisses der Waren und Dienstleistungen.</w:t>
      </w:r>
    </w:p>
    <w:p>
      <w:r>
        <w:t xml:space="preserve">(2) Wird eine angemeldete Marke nicht in das Register eingetragen, so umfasst die Veröffentlichung zusätzlich folgende Angaben:</w:t>
      </w:r>
    </w:p>
    <w:p>
      <w:pPr>
        <w:ind w:left="420"/>
      </w:pPr>
      <w:r>
        <w:t xml:space="preserve">1. bei vollständiger oder teilweiser Zurückweisung einer angemeldeten Marke eine entsprechende Angabe unter Bezeichnung des Zurückweisungsgrundes und der Waren und Dienstleistungen sowie der Klassen, auf die sich die Zurückweisung bezieht;</w:t>
      </w:r>
    </w:p>
    <w:p>
      <w:pPr>
        <w:ind w:left="420"/>
      </w:pPr>
      <w:r>
        <w:t xml:space="preserve">2. bei vollständiger oder teilweiser Rücknahme einer Markenanmeldung eine entsprechende Angabe unter Bezeichnung der Waren und Dienstleistungen sowie der Klassen, auf die sich die Rücknahme bezieht;</w:t>
      </w:r>
    </w:p>
    <w:p>
      <w:pPr>
        <w:ind w:left="420"/>
      </w:pPr>
      <w:r>
        <w:t xml:space="preserve">3. wenn eine Anmeldung wegen Nichtzahlung der Gebühr (§ 6 Abs. 2 des Patentkostengesetzes) oder wegen fehlender Mindestvoraussetzungen für die Zuerkennung eines Anmeldetages (§ 36 Abs. 2 Satz 1 in Verbindung mit § 36 Abs. 1 Nr. 1, § 33 Abs. 1 des Markengesetzes) als zurückgenommen gilt, eine entsprechende Angabe;</w:t>
      </w:r>
    </w:p>
    <w:p>
      <w:pPr>
        <w:ind w:left="420"/>
      </w:pPr>
      <w:r>
        <w:t xml:space="preserve">4. bei geschlossenen Mehrfachanmeldungen eine entsprechende Angabe.</w:t>
      </w:r>
    </w:p>
    <w:p>
      <w:r>
        <w:t xml:space="preserve">(3) Die Veröffentlichung kann in elektronischer Form erfolgen.</w:t>
      </w:r>
    </w:p>
    <w:p>
      <w:r>
        <w:rPr>
          <w:color w:val="555555"/>
          <w:sz w:val="17"/>
        </w:rPr>
        <w:t xml:space="preserve">Zitiervorschlag: § 23 MarkenV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https://recht.nulegal.eu/gesetze/MarkenV%202004/23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