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MarkenV 2004 — Entscheidung über die Klassifizierung</w:t>
      </w:r>
    </w:p>
    <w:p>
      <w:r>
        <w:rPr>
          <w:color w:val="555555"/>
          <w:sz w:val="18"/>
        </w:rPr>
        <w:t xml:space="preserve">Markenverordnung</w:t>
      </w:r>
    </w:p>
    <w:p>
      <w:r>
        <w:rPr>
          <w:color w:val="555555"/>
          <w:sz w:val="18"/>
        </w:rPr>
        <w:t xml:space="preserve">Stand: 10.06.2019 (konsolidierte Textfassung, kein amtliches Inkrafttretensdatum)</w:t>
      </w:r>
    </w:p>
    <w:p>
      <w:r>
        <w:t xml:space="preserve">(1) Sind die Waren und Dienstleistungen in der Anmeldung nicht zutreffend klassifiziert, so entscheidet das Deutsche Patent- und Markenamt über die Klassifizierung.</w:t>
      </w:r>
    </w:p>
    <w:p>
      <w:r>
        <w:t xml:space="preserve">(2) Das Deutsche Patent- und Markenamt legt als Leitklasse die Klasse der Klasseneinteilung fest, auf der der Schwerpunkt der Anmeldung liegt. Es ist insoweit an eine Angabe des Anmelders über die Leitklasse nicht gebunden. Das Deutsche Patent- und Markenamt berücksichtigt eine vom Anmelder angegebene Leitklasse bei der Gebührenzahlung.</w:t>
      </w:r>
    </w:p>
    <w:p>
      <w:r>
        <w:rPr>
          <w:color w:val="555555"/>
          <w:sz w:val="17"/>
        </w:rPr>
        <w:t xml:space="preserve">Zitiervorschlag: § 21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