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MarkenV 2004 — Form der Anmeldung</w:t>
      </w:r>
    </w:p>
    <w:p>
      <w:r>
        <w:rPr>
          <w:color w:val="555555"/>
          <w:sz w:val="18"/>
        </w:rPr>
        <w:t xml:space="preserve">Markenverordnung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Anmeldung kann schriftlich oder elektronisch eingereicht werden. Für die schriftliche Anmeldung ist das vom Deutschen Patent- und Markenamt herausgegebene Formblatt zu verwenden. Für die elektronische Einreichung ist die Verordnung über den elektronischen Rechtsverkehr beim Deutschen Patent- und Markenamt maßgebend.</w:t>
      </w:r>
    </w:p>
    <w:p>
      <w:r>
        <w:t xml:space="preserve">(2) Für jede Marke ist eine gesonderte Anmeldung erforderlich.</w:t>
      </w:r>
    </w:p>
    <w:p>
      <w:r>
        <w:rPr>
          <w:color w:val="555555"/>
          <w:sz w:val="17"/>
        </w:rPr>
        <w:t xml:space="preserve">Zitiervorschlag: § 2 MarkenV 2004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https://recht.nulegal.eu/gesetze/MarkenV%202004/2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