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MarkenV 2004 — Klassifizierung</w:t>
      </w:r>
    </w:p>
    <w:p>
      <w:r>
        <w:rPr>
          <w:color w:val="555555"/>
          <w:sz w:val="18"/>
        </w:rPr>
        <w:t xml:space="preserve">Markenverordnung</w:t>
      </w:r>
    </w:p>
    <w:p>
      <w:r>
        <w:rPr>
          <w:color w:val="555555"/>
          <w:sz w:val="18"/>
        </w:rPr>
        <w:t xml:space="preserve">Stand: 10.06.2019 (konsolidierte Textfassung, kein amtliches Inkrafttretensdatum)</w:t>
      </w:r>
    </w:p>
    <w:p>
      <w:r>
        <w:t xml:space="preserve">Die Klassifizierung der Waren und Dienstleistungen richtet sich nach der vom Deutschen Patent- und Markenamt im Bundesanzeiger bekannt gemachten jeweils gültigen Fassung der Klasseneinteilung und der alphabetischen Listen der Waren und Dienstleistungen gemäß dem in der Genfer Fassung vom 13. Mai 1977 des Abkommens vom 15. Juni 1957 von Nizza über die internationale Klassifikation von Waren und Dienstleistungen für die Eintragung von Marken (BGBl. 1981 II S. 358, 359) festgelegten Klassifikationssystem (Nizza-Klassifikation).</w:t>
      </w:r>
    </w:p>
    <w:p>
      <w:r>
        <w:rPr>
          <w:color w:val="555555"/>
          <w:sz w:val="17"/>
        </w:rPr>
        <w:t xml:space="preserve">Zitiervorschlag: § 19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