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MarkenV 2004 — Verschiebung des Zeitrangs bei Verkehrsdurchsetzung</w:t>
      </w:r>
    </w:p>
    <w:p>
      <w:r>
        <w:rPr>
          <w:color w:val="555555"/>
          <w:sz w:val="18"/>
        </w:rPr>
        <w:t xml:space="preserve">Markenverordnung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Ergibt sich bei der Prüfung, dass die Voraussetzungen für die Verschiebung des Zeitrangs nach § 37 Abs. 2 des Markengesetzes gegeben sind, so unterrichtet das Deutsche Patent- und Markenamt den Anmelder entsprechend. In den Akten der Anmeldung wird der Tag vermerkt, der für die Bestimmung des Zeitrangs maßgeblich ist. Der Anmeldetag nach § 33 Abs. 1 des Markengesetzes bleibt im Übrigen unberührt.</w:t>
      </w:r>
    </w:p>
    <w:p>
      <w:r>
        <w:rPr>
          <w:color w:val="555555"/>
          <w:sz w:val="17"/>
        </w:rPr>
        <w:t xml:space="preserve">Zitiervorschlag: § 18 MarkenV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https://recht.nulegal.eu/gesetze/MarkenV%202004/18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