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MarkenV 2004 — Berufung auf eine im Ursprungsland eingetragene Marke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17.01.2026 (konsolidierte Textfassung, kein amtliches Inkrafttretensdatum)</w:t>
      </w:r>
    </w:p>
    <w:p>
      <w:r>
        <w:t xml:space="preserve">(1) Beruft sich der Anmelder auf eine im Ursprungsland eingetragene Marke nach Artikel 6quinquies der Pariser Verbandsübereinkunft, so kann die entsprechende Erklärung auch noch nach der Anmeldung abgegeben werden.</w:t>
      </w:r>
    </w:p>
    <w:p>
      <w:r>
        <w:t xml:space="preserve">(2) Der Anmelder hat eine von der zuständigen Behörde ausgestellte Bescheinigung über die Eintragung im Ursprungsland vorzulegen.</w:t>
      </w:r>
    </w:p>
    <w:p>
      <w:r>
        <w:rPr>
          <w:color w:val="555555"/>
          <w:sz w:val="17"/>
        </w:rPr>
        <w:t xml:space="preserve">Zitiervorschlag: § 17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