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MarkenV 2004 — Sonstige Markenformen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Meldet der Anmelder eine Marke an, die nicht unter die Markenformen der §§ 7 bis 12 fällt, kann die Marke als sonstige Marke eingetragen werden. Der Anmeldung ist eine Darstellung der Marke beizufügen, die den Erfordernissen des § 8 Absatz 1 des Markengesetzes genügt. Unter den Voraussetzungen des § 6a Absatz 2 kann die Darstellung auch durch Text erfolgen.</w:t>
      </w:r>
    </w:p>
    <w:p>
      <w:r>
        <w:t xml:space="preserve">(2) Für die Form der Darstellung gelten im Übrigen die §§ 8 bis 11 entsprechend.</w:t>
      </w:r>
    </w:p>
    <w:p>
      <w:r>
        <w:rPr>
          <w:color w:val="555555"/>
          <w:sz w:val="17"/>
        </w:rPr>
        <w:t xml:space="preserve">Zitiervorschlag: § 12a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