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MarkenV 2004 — Klangmarken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Wenn der Anmelder angibt, dass die Marke als Klangmarke eingetragen werden soll, so ist der Anmeldung eine Darstellung auf einem Datenträger oder eine grafische Darstellung der Klangmarke beizufügen.</w:t>
      </w:r>
    </w:p>
    <w:p>
      <w:r>
        <w:t xml:space="preserve">(2) Die grafische Darstellung hat in einer üblichen Notenschrift zu erfolgen.</w:t>
      </w:r>
    </w:p>
    <w:p>
      <w:r>
        <w:t xml:space="preserve">(3) Für die Form der Darstellung gilt im Übrigen § 8 Absatz 2 bis 6 entsprechend.</w:t>
      </w:r>
    </w:p>
    <w:p>
      <w:r>
        <w:rPr>
          <w:color w:val="555555"/>
          <w:sz w:val="17"/>
        </w:rPr>
        <w:t xml:space="preserve">Zitiervorschlag: § 11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