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MarkenG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rPr>
          <w:rFonts w:ascii="Courier New" w:hAnsi="Courier New"/>
          <w:sz w:val="17"/>
        </w:rPr>
        <w:t xml:space="preserve">Teil 1</w:t>
      </w:r>
    </w:p>
    <w:p>
      <w:r>
        <w:rPr>
          <w:rFonts w:ascii="Courier New" w:hAnsi="Courier New"/>
          <w:sz w:val="17"/>
        </w:rPr>
        <w:t xml:space="preserve">    Anwendungsbereich</w:t>
      </w:r>
    </w:p>
    <w:p>
      <w:r>
        <w:rPr>
          <w:rFonts w:ascii="Courier New" w:hAnsi="Courier New"/>
          <w:sz w:val="17"/>
        </w:rPr>
        <w:t xml:space="preserve">§ 1    Geschützte Marken und sonstige Kennzeichen</w:t>
      </w:r>
    </w:p>
    <w:p>
      <w:r>
        <w:rPr>
          <w:rFonts w:ascii="Courier New" w:hAnsi="Courier New"/>
          <w:sz w:val="17"/>
        </w:rPr>
        <w:t xml:space="preserve">§ 2    Anwendung anderer Vorschriften</w:t>
      </w:r>
    </w:p>
    <w:p>
      <w:r>
        <w:rPr>
          <w:rFonts w:ascii="Courier New" w:hAnsi="Courier New"/>
          <w:sz w:val="17"/>
        </w:rPr>
        <w:t xml:space="preserve">Teil 2</w:t>
      </w:r>
    </w:p>
    <w:p>
      <w:r>
        <w:rPr>
          <w:rFonts w:ascii="Courier New" w:hAnsi="Courier New"/>
          <w:sz w:val="17"/>
        </w:rPr>
        <w:t xml:space="preserve">    Voraussetzungen; Inhalt und Schranken des Schutzes von Marken und geschäftlichen Bezeichnungen; weitere Zeichen; Übertragung und Lizenz</w:t>
      </w:r>
    </w:p>
    <w:p>
      <w:r>
        <w:rPr>
          <w:rFonts w:ascii="Courier New" w:hAnsi="Courier New"/>
          <w:sz w:val="17"/>
        </w:rPr>
        <w:t xml:space="preserve">        Abschnitt 1</w:t>
      </w:r>
    </w:p>
    <w:p>
      <w:r>
        <w:rPr>
          <w:rFonts w:ascii="Courier New" w:hAnsi="Courier New"/>
          <w:sz w:val="17"/>
        </w:rPr>
        <w:t xml:space="preserve">            Marken und geschäftliche Bezeichnungen; Vorrang und Zeitrang</w:t>
      </w:r>
    </w:p>
    <w:p>
      <w:r>
        <w:rPr>
          <w:rFonts w:ascii="Courier New" w:hAnsi="Courier New"/>
          <w:sz w:val="17"/>
        </w:rPr>
        <w:t xml:space="preserve">§ 3    Als Marke schutzfähige Zeichen</w:t>
      </w:r>
    </w:p>
    <w:p>
      <w:r>
        <w:rPr>
          <w:rFonts w:ascii="Courier New" w:hAnsi="Courier New"/>
          <w:sz w:val="17"/>
        </w:rPr>
        <w:t xml:space="preserve">§ 4    Entstehung des Markenschutzes</w:t>
      </w:r>
    </w:p>
    <w:p>
      <w:r>
        <w:rPr>
          <w:rFonts w:ascii="Courier New" w:hAnsi="Courier New"/>
          <w:sz w:val="17"/>
        </w:rPr>
        <w:t xml:space="preserve">§ 5    Geschäftliche Bezeichnungen</w:t>
      </w:r>
    </w:p>
    <w:p>
      <w:r>
        <w:rPr>
          <w:rFonts w:ascii="Courier New" w:hAnsi="Courier New"/>
          <w:sz w:val="17"/>
        </w:rPr>
        <w:t xml:space="preserve">§ 6    Vorrang und Zeitrang</w:t>
      </w:r>
    </w:p>
    <w:p>
      <w:r>
        <w:rPr>
          <w:rFonts w:ascii="Courier New" w:hAnsi="Courier New"/>
          <w:sz w:val="17"/>
        </w:rPr>
        <w:t xml:space="preserve">        Abschnitt 1a</w:t>
      </w:r>
    </w:p>
    <w:p>
      <w:r>
        <w:rPr>
          <w:rFonts w:ascii="Courier New" w:hAnsi="Courier New"/>
          <w:sz w:val="17"/>
        </w:rPr>
        <w:t xml:space="preserve">            Wappen, Flaggen, Hoheitszeichen, amtliche Prüf- und Gewährzeichen, Kennzeichen, Siegel und Bezeichnungen internationaler zwischenstaatlicher Organisationen</w:t>
      </w:r>
    </w:p>
    <w:p>
      <w:r>
        <w:rPr>
          <w:rFonts w:ascii="Courier New" w:hAnsi="Courier New"/>
          <w:sz w:val="17"/>
        </w:rPr>
        <w:t xml:space="preserve">§ 6a    Verbot des Gebrauchs</w:t>
      </w:r>
    </w:p>
    <w:p>
      <w:r>
        <w:rPr>
          <w:rFonts w:ascii="Courier New" w:hAnsi="Courier New"/>
          <w:sz w:val="17"/>
        </w:rPr>
        <w:t xml:space="preserve">        Abschnitt 2</w:t>
      </w:r>
    </w:p>
    <w:p>
      <w:r>
        <w:rPr>
          <w:rFonts w:ascii="Courier New" w:hAnsi="Courier New"/>
          <w:sz w:val="17"/>
        </w:rPr>
        <w:t xml:space="preserve">            Voraussetzungen für den Schutz von Marken durch Eintragung</w:t>
      </w:r>
    </w:p>
    <w:p>
      <w:r>
        <w:rPr>
          <w:rFonts w:ascii="Courier New" w:hAnsi="Courier New"/>
          <w:sz w:val="17"/>
        </w:rPr>
        <w:t xml:space="preserve">§ 7    Inhaberschaft</w:t>
      </w:r>
    </w:p>
    <w:p>
      <w:r>
        <w:rPr>
          <w:rFonts w:ascii="Courier New" w:hAnsi="Courier New"/>
          <w:sz w:val="17"/>
        </w:rPr>
        <w:t xml:space="preserve">§ 8    Absolute Schutzhindernisse</w:t>
      </w:r>
    </w:p>
    <w:p>
      <w:r>
        <w:rPr>
          <w:rFonts w:ascii="Courier New" w:hAnsi="Courier New"/>
          <w:sz w:val="17"/>
        </w:rPr>
        <w:t xml:space="preserve">§ 9    Angemeldete oder eingetragene Marken als relative Schutzhindernisse</w:t>
      </w:r>
    </w:p>
    <w:p>
      <w:r>
        <w:rPr>
          <w:rFonts w:ascii="Courier New" w:hAnsi="Courier New"/>
          <w:sz w:val="17"/>
        </w:rPr>
        <w:t xml:space="preserve">§ 10    Notorisch bekannte Marken</w:t>
      </w:r>
    </w:p>
    <w:p>
      <w:r>
        <w:rPr>
          <w:rFonts w:ascii="Courier New" w:hAnsi="Courier New"/>
          <w:sz w:val="17"/>
        </w:rPr>
        <w:t xml:space="preserve">§ 11    Agentenmarken</w:t>
      </w:r>
    </w:p>
    <w:p>
      <w:r>
        <w:rPr>
          <w:rFonts w:ascii="Courier New" w:hAnsi="Courier New"/>
          <w:sz w:val="17"/>
        </w:rPr>
        <w:t xml:space="preserve">§ 12    Durch Benutzung erworbene Marken und geschäftliche Bezeichnungen mit älterem Zeitrang</w:t>
      </w:r>
    </w:p>
    <w:p>
      <w:r>
        <w:rPr>
          <w:rFonts w:ascii="Courier New" w:hAnsi="Courier New"/>
          <w:sz w:val="17"/>
        </w:rPr>
        <w:t xml:space="preserve">§ 13    Sonstige ältere Rechte</w:t>
      </w:r>
    </w:p>
    <w:p>
      <w:r>
        <w:rPr>
          <w:rFonts w:ascii="Courier New" w:hAnsi="Courier New"/>
          <w:sz w:val="17"/>
        </w:rPr>
        <w:t xml:space="preserve">        Abschnitt 3</w:t>
      </w:r>
    </w:p>
    <w:p>
      <w:r>
        <w:rPr>
          <w:rFonts w:ascii="Courier New" w:hAnsi="Courier New"/>
          <w:sz w:val="17"/>
        </w:rPr>
        <w:t xml:space="preserve">            Schutzinhalt; Rechtsverletzungen</w:t>
      </w:r>
    </w:p>
    <w:p>
      <w:r>
        <w:rPr>
          <w:rFonts w:ascii="Courier New" w:hAnsi="Courier New"/>
          <w:sz w:val="17"/>
        </w:rPr>
        <w:t xml:space="preserve">§ 14    Ausschließliches Recht des Inhabers einer Marke; Unterlassungsanspruch; Schadensersatzanspruch</w:t>
      </w:r>
    </w:p>
    <w:p>
      <w:r>
        <w:rPr>
          <w:rFonts w:ascii="Courier New" w:hAnsi="Courier New"/>
          <w:sz w:val="17"/>
        </w:rPr>
        <w:t xml:space="preserve">§ 14a    Waren unter zollamtlicher Überwachung</w:t>
      </w:r>
    </w:p>
    <w:p>
      <w:r>
        <w:rPr>
          <w:rFonts w:ascii="Courier New" w:hAnsi="Courier New"/>
          <w:sz w:val="17"/>
        </w:rPr>
        <w:t xml:space="preserve">§ 15    Ausschließliches Recht des Inhabers einer geschäftlichen Bezeichnung; Unterlassungsanspruch; Schadensersatzanspruch</w:t>
      </w:r>
    </w:p>
    <w:p>
      <w:r>
        <w:rPr>
          <w:rFonts w:ascii="Courier New" w:hAnsi="Courier New"/>
          <w:sz w:val="17"/>
        </w:rPr>
        <w:t xml:space="preserve">§ 16    Wiedergabe einer eingetragenen Marke in Nachschlagewerken</w:t>
      </w:r>
    </w:p>
    <w:p>
      <w:r>
        <w:rPr>
          <w:rFonts w:ascii="Courier New" w:hAnsi="Courier New"/>
          <w:sz w:val="17"/>
        </w:rPr>
        <w:t xml:space="preserve">§ 17    Ansprüche gegen Agenten oder Vertreter</w:t>
      </w:r>
    </w:p>
    <w:p>
      <w:r>
        <w:rPr>
          <w:rFonts w:ascii="Courier New" w:hAnsi="Courier New"/>
          <w:sz w:val="17"/>
        </w:rPr>
        <w:t xml:space="preserve">§ 18    Vernichtungs- und Rückrufansprüche</w:t>
      </w:r>
    </w:p>
    <w:p>
      <w:r>
        <w:rPr>
          <w:rFonts w:ascii="Courier New" w:hAnsi="Courier New"/>
          <w:sz w:val="17"/>
        </w:rPr>
        <w:t xml:space="preserve">§ 19    Auskunftsanspruch</w:t>
      </w:r>
    </w:p>
    <w:p>
      <w:r>
        <w:rPr>
          <w:rFonts w:ascii="Courier New" w:hAnsi="Courier New"/>
          <w:sz w:val="17"/>
        </w:rPr>
        <w:t xml:space="preserve">§ 19a    Vorlage- und Besichtigungsansprüche</w:t>
      </w:r>
    </w:p>
    <w:p>
      <w:r>
        <w:rPr>
          <w:rFonts w:ascii="Courier New" w:hAnsi="Courier New"/>
          <w:sz w:val="17"/>
        </w:rPr>
        <w:t xml:space="preserve">§ 19b    Sicherung von Schadensersatzansprüchen</w:t>
      </w:r>
    </w:p>
    <w:p>
      <w:r>
        <w:rPr>
          <w:rFonts w:ascii="Courier New" w:hAnsi="Courier New"/>
          <w:sz w:val="17"/>
        </w:rPr>
        <w:t xml:space="preserve">§ 19c    Urteilsbekanntmachung</w:t>
      </w:r>
    </w:p>
    <w:p>
      <w:r>
        <w:rPr>
          <w:rFonts w:ascii="Courier New" w:hAnsi="Courier New"/>
          <w:sz w:val="17"/>
        </w:rPr>
        <w:t xml:space="preserve">§ 19d    Ansprüche aus anderen gesetzlichen Vorschriften</w:t>
      </w:r>
    </w:p>
    <w:p>
      <w:r>
        <w:rPr>
          <w:rFonts w:ascii="Courier New" w:hAnsi="Courier New"/>
          <w:sz w:val="17"/>
        </w:rPr>
        <w:t xml:space="preserve">        Abschnitt 4</w:t>
      </w:r>
    </w:p>
    <w:p>
      <w:r>
        <w:rPr>
          <w:rFonts w:ascii="Courier New" w:hAnsi="Courier New"/>
          <w:sz w:val="17"/>
        </w:rPr>
        <w:t xml:space="preserve">            Schranken des Schutzes</w:t>
      </w:r>
    </w:p>
    <w:p>
      <w:r>
        <w:rPr>
          <w:rFonts w:ascii="Courier New" w:hAnsi="Courier New"/>
          <w:sz w:val="17"/>
        </w:rPr>
        <w:t xml:space="preserve">§ 20    Verjährung</w:t>
      </w:r>
    </w:p>
    <w:p>
      <w:r>
        <w:rPr>
          <w:rFonts w:ascii="Courier New" w:hAnsi="Courier New"/>
          <w:sz w:val="17"/>
        </w:rPr>
        <w:t xml:space="preserve">§ 21    Verwirkung von Ansprüchen</w:t>
      </w:r>
    </w:p>
    <w:p>
      <w:r>
        <w:rPr>
          <w:rFonts w:ascii="Courier New" w:hAnsi="Courier New"/>
          <w:sz w:val="17"/>
        </w:rPr>
        <w:t xml:space="preserve">§ 22    Ausschluß von Ansprüchen bei Bestandskraft der Eintragung einer Marke mit jüngerem Zeitrang</w:t>
      </w:r>
    </w:p>
    <w:p>
      <w:r>
        <w:rPr>
          <w:rFonts w:ascii="Courier New" w:hAnsi="Courier New"/>
          <w:sz w:val="17"/>
        </w:rPr>
        <w:t xml:space="preserve">§ 23    Benutzung von Namen und beschreibenden Angaben; Ersatzteilgeschäft</w:t>
      </w:r>
    </w:p>
    <w:p>
      <w:r>
        <w:rPr>
          <w:rFonts w:ascii="Courier New" w:hAnsi="Courier New"/>
          <w:sz w:val="17"/>
        </w:rPr>
        <w:t xml:space="preserve">§ 24    Erschöpfung</w:t>
      </w:r>
    </w:p>
    <w:p>
      <w:r>
        <w:rPr>
          <w:rFonts w:ascii="Courier New" w:hAnsi="Courier New"/>
          <w:sz w:val="17"/>
        </w:rPr>
        <w:t xml:space="preserve">§ 25    Ausschluß von Ansprüchen bei mangelnder Benutzung</w:t>
      </w:r>
    </w:p>
    <w:p>
      <w:r>
        <w:rPr>
          <w:rFonts w:ascii="Courier New" w:hAnsi="Courier New"/>
          <w:sz w:val="17"/>
        </w:rPr>
        <w:t xml:space="preserve">§ 26    Benutzung der Marke</w:t>
      </w:r>
    </w:p>
    <w:p>
      <w:r>
        <w:rPr>
          <w:rFonts w:ascii="Courier New" w:hAnsi="Courier New"/>
          <w:sz w:val="17"/>
        </w:rPr>
        <w:t xml:space="preserve">        Abschnitt 5</w:t>
      </w:r>
    </w:p>
    <w:p>
      <w:r>
        <w:rPr>
          <w:rFonts w:ascii="Courier New" w:hAnsi="Courier New"/>
          <w:sz w:val="17"/>
        </w:rPr>
        <w:t xml:space="preserve">            Marken als Gegenstand des Vermögens</w:t>
      </w:r>
    </w:p>
    <w:p>
      <w:r>
        <w:rPr>
          <w:rFonts w:ascii="Courier New" w:hAnsi="Courier New"/>
          <w:sz w:val="17"/>
        </w:rPr>
        <w:t xml:space="preserve">§ 27    Rechtsübergang</w:t>
      </w:r>
    </w:p>
    <w:p>
      <w:r>
        <w:rPr>
          <w:rFonts w:ascii="Courier New" w:hAnsi="Courier New"/>
          <w:sz w:val="17"/>
        </w:rPr>
        <w:t xml:space="preserve">§ 28    Vermutung der Rechtsinhaberschaft; Zustellungen an den Inhaber</w:t>
      </w:r>
    </w:p>
    <w:p>
      <w:r>
        <w:rPr>
          <w:rFonts w:ascii="Courier New" w:hAnsi="Courier New"/>
          <w:sz w:val="17"/>
        </w:rPr>
        <w:t xml:space="preserve">§ 29    Dingliche Rechte; Zwangsvollstreckung; Insolvenzverfahren</w:t>
      </w:r>
    </w:p>
    <w:p>
      <w:r>
        <w:rPr>
          <w:rFonts w:ascii="Courier New" w:hAnsi="Courier New"/>
          <w:sz w:val="17"/>
        </w:rPr>
        <w:t xml:space="preserve">§ 30    Lizenzen</w:t>
      </w:r>
    </w:p>
    <w:p>
      <w:r>
        <w:rPr>
          <w:rFonts w:ascii="Courier New" w:hAnsi="Courier New"/>
          <w:sz w:val="17"/>
        </w:rPr>
        <w:t xml:space="preserve">§ 31    Angemeldete Marken</w:t>
      </w:r>
    </w:p>
    <w:p>
      <w:r>
        <w:rPr>
          <w:rFonts w:ascii="Courier New" w:hAnsi="Courier New"/>
          <w:sz w:val="17"/>
        </w:rPr>
        <w:t xml:space="preserve">Teil 3</w:t>
      </w:r>
    </w:p>
    <w:p>
      <w:r>
        <w:rPr>
          <w:rFonts w:ascii="Courier New" w:hAnsi="Courier New"/>
          <w:sz w:val="17"/>
        </w:rPr>
        <w:t xml:space="preserve">    Verfahren in Markenangelegenheiten</w:t>
      </w:r>
    </w:p>
    <w:p>
      <w:r>
        <w:rPr>
          <w:rFonts w:ascii="Courier New" w:hAnsi="Courier New"/>
          <w:sz w:val="17"/>
        </w:rPr>
        <w:t xml:space="preserve">        Abschnitt 1</w:t>
      </w:r>
    </w:p>
    <w:p>
      <w:r>
        <w:rPr>
          <w:rFonts w:ascii="Courier New" w:hAnsi="Courier New"/>
          <w:sz w:val="17"/>
        </w:rPr>
        <w:t xml:space="preserve">            Eintragungsverfahren</w:t>
      </w:r>
    </w:p>
    <w:p>
      <w:r>
        <w:rPr>
          <w:rFonts w:ascii="Courier New" w:hAnsi="Courier New"/>
          <w:sz w:val="17"/>
        </w:rPr>
        <w:t xml:space="preserve">§ 32    Erfordernisse der Anmeldung</w:t>
      </w:r>
    </w:p>
    <w:p>
      <w:r>
        <w:rPr>
          <w:rFonts w:ascii="Courier New" w:hAnsi="Courier New"/>
          <w:sz w:val="17"/>
        </w:rPr>
        <w:t xml:space="preserve">§ 33    Anmeldetag; Anspruch auf Eintragung; Veröffentlichung der Anmeldung</w:t>
      </w:r>
    </w:p>
    <w:p>
      <w:r>
        <w:rPr>
          <w:rFonts w:ascii="Courier New" w:hAnsi="Courier New"/>
          <w:sz w:val="17"/>
        </w:rPr>
        <w:t xml:space="preserve">§ 34    Ausländische Priorität</w:t>
      </w:r>
    </w:p>
    <w:p>
      <w:r>
        <w:rPr>
          <w:rFonts w:ascii="Courier New" w:hAnsi="Courier New"/>
          <w:sz w:val="17"/>
        </w:rPr>
        <w:t xml:space="preserve">§ 35    Ausstellungspriorität</w:t>
      </w:r>
    </w:p>
    <w:p>
      <w:r>
        <w:rPr>
          <w:rFonts w:ascii="Courier New" w:hAnsi="Courier New"/>
          <w:sz w:val="17"/>
        </w:rPr>
        <w:t xml:space="preserve">§ 36    Prüfung der Anmeldungserfordernisse</w:t>
      </w:r>
    </w:p>
    <w:p>
      <w:r>
        <w:rPr>
          <w:rFonts w:ascii="Courier New" w:hAnsi="Courier New"/>
          <w:sz w:val="17"/>
        </w:rPr>
        <w:t xml:space="preserve">§ 37    Prüfung auf absolute Schutzhindernisse; Bemerkungen Dritter</w:t>
      </w:r>
    </w:p>
    <w:p>
      <w:r>
        <w:rPr>
          <w:rFonts w:ascii="Courier New" w:hAnsi="Courier New"/>
          <w:sz w:val="17"/>
        </w:rPr>
        <w:t xml:space="preserve">§ 38    Beschleunigte Prüfung</w:t>
      </w:r>
    </w:p>
    <w:p>
      <w:r>
        <w:rPr>
          <w:rFonts w:ascii="Courier New" w:hAnsi="Courier New"/>
          <w:sz w:val="17"/>
        </w:rPr>
        <w:t xml:space="preserve">§ 39    Zurücknahme, Einschränkung und Berichtigung der Anmeldung</w:t>
      </w:r>
    </w:p>
    <w:p>
      <w:r>
        <w:rPr>
          <w:rFonts w:ascii="Courier New" w:hAnsi="Courier New"/>
          <w:sz w:val="17"/>
        </w:rPr>
        <w:t xml:space="preserve">§ 40    Teilung der Anmeldung</w:t>
      </w:r>
    </w:p>
    <w:p>
      <w:r>
        <w:rPr>
          <w:rFonts w:ascii="Courier New" w:hAnsi="Courier New"/>
          <w:sz w:val="17"/>
        </w:rPr>
        <w:t xml:space="preserve">§ 41    Eintragung, Veröffentlichung und Markeninformation</w:t>
      </w:r>
    </w:p>
    <w:p>
      <w:r>
        <w:rPr>
          <w:rFonts w:ascii="Courier New" w:hAnsi="Courier New"/>
          <w:sz w:val="17"/>
        </w:rPr>
        <w:t xml:space="preserve">§ 42    Widerspruch</w:t>
      </w:r>
    </w:p>
    <w:p>
      <w:r>
        <w:rPr>
          <w:rFonts w:ascii="Courier New" w:hAnsi="Courier New"/>
          <w:sz w:val="17"/>
        </w:rPr>
        <w:t xml:space="preserve">§ 43    Einrede mangelnder Benutzung; Entscheidung über den Widerspruch</w:t>
      </w:r>
    </w:p>
    <w:p>
      <w:r>
        <w:rPr>
          <w:rFonts w:ascii="Courier New" w:hAnsi="Courier New"/>
          <w:sz w:val="17"/>
        </w:rPr>
        <w:t xml:space="preserve">§ 44    Eintragungsbewilligungsklage</w:t>
      </w:r>
    </w:p>
    <w:p>
      <w:r>
        <w:rPr>
          <w:rFonts w:ascii="Courier New" w:hAnsi="Courier New"/>
          <w:sz w:val="17"/>
        </w:rPr>
        <w:t xml:space="preserve">        Abschnitt 2</w:t>
      </w:r>
    </w:p>
    <w:p>
      <w:r>
        <w:rPr>
          <w:rFonts w:ascii="Courier New" w:hAnsi="Courier New"/>
          <w:sz w:val="17"/>
        </w:rPr>
        <w:t xml:space="preserve">            Berichtigung; Teilung; Schutzdauer und Verlängerung</w:t>
      </w:r>
    </w:p>
    <w:p>
      <w:r>
        <w:rPr>
          <w:rFonts w:ascii="Courier New" w:hAnsi="Courier New"/>
          <w:sz w:val="17"/>
        </w:rPr>
        <w:t xml:space="preserve">§ 45    Berichtigung des Registers und von Veröffentlichungen</w:t>
      </w:r>
    </w:p>
    <w:p>
      <w:r>
        <w:rPr>
          <w:rFonts w:ascii="Courier New" w:hAnsi="Courier New"/>
          <w:sz w:val="17"/>
        </w:rPr>
        <w:t xml:space="preserve">§ 46    Teilung der Eintragung</w:t>
      </w:r>
    </w:p>
    <w:p>
      <w:r>
        <w:rPr>
          <w:rFonts w:ascii="Courier New" w:hAnsi="Courier New"/>
          <w:sz w:val="17"/>
        </w:rPr>
        <w:t xml:space="preserve">§ 47    Schutzdauer und Verlängerung</w:t>
      </w:r>
    </w:p>
    <w:p>
      <w:r>
        <w:rPr>
          <w:rFonts w:ascii="Courier New" w:hAnsi="Courier New"/>
          <w:sz w:val="17"/>
        </w:rPr>
        <w:t xml:space="preserve">        Abschnitt 3</w:t>
      </w:r>
    </w:p>
    <w:p>
      <w:r>
        <w:rPr>
          <w:rFonts w:ascii="Courier New" w:hAnsi="Courier New"/>
          <w:sz w:val="17"/>
        </w:rPr>
        <w:t xml:space="preserve">            Verzicht; Verfalls- und Nichtigkeitsverfahren</w:t>
      </w:r>
    </w:p>
    <w:p>
      <w:r>
        <w:rPr>
          <w:rFonts w:ascii="Courier New" w:hAnsi="Courier New"/>
          <w:sz w:val="17"/>
        </w:rPr>
        <w:t xml:space="preserve">§ 48    Verzicht</w:t>
      </w:r>
    </w:p>
    <w:p>
      <w:r>
        <w:rPr>
          <w:rFonts w:ascii="Courier New" w:hAnsi="Courier New"/>
          <w:sz w:val="17"/>
        </w:rPr>
        <w:t xml:space="preserve">§ 49    Verfall</w:t>
      </w:r>
    </w:p>
    <w:p>
      <w:r>
        <w:rPr>
          <w:rFonts w:ascii="Courier New" w:hAnsi="Courier New"/>
          <w:sz w:val="17"/>
        </w:rPr>
        <w:t xml:space="preserve">§ 50    Nichtigkeit wegen absoluter Schutzhindernisse</w:t>
      </w:r>
    </w:p>
    <w:p>
      <w:r>
        <w:rPr>
          <w:rFonts w:ascii="Courier New" w:hAnsi="Courier New"/>
          <w:sz w:val="17"/>
        </w:rPr>
        <w:t xml:space="preserve">§ 51    Nichtigkeit wegen des Bestehens älterer Rechte</w:t>
      </w:r>
    </w:p>
    <w:p>
      <w:r>
        <w:rPr>
          <w:rFonts w:ascii="Courier New" w:hAnsi="Courier New"/>
          <w:sz w:val="17"/>
        </w:rPr>
        <w:t xml:space="preserve">§ 52    Wirkungen des Verfalls und der Nichtigkeit</w:t>
      </w:r>
    </w:p>
    <w:p>
      <w:r>
        <w:rPr>
          <w:rFonts w:ascii="Courier New" w:hAnsi="Courier New"/>
          <w:sz w:val="17"/>
        </w:rPr>
        <w:t xml:space="preserve">§ 53    Verfalls- und Nichtigkeitsverfahren vor dem Deutschen Patent- und Markenamt</w:t>
      </w:r>
    </w:p>
    <w:p>
      <w:r>
        <w:rPr>
          <w:rFonts w:ascii="Courier New" w:hAnsi="Courier New"/>
          <w:sz w:val="17"/>
        </w:rPr>
        <w:t xml:space="preserve">§ 54    Beitritt zum Verfalls- und Nichtigkeitsverfahren</w:t>
      </w:r>
    </w:p>
    <w:p>
      <w:r>
        <w:rPr>
          <w:rFonts w:ascii="Courier New" w:hAnsi="Courier New"/>
          <w:sz w:val="17"/>
        </w:rPr>
        <w:t xml:space="preserve">§ 55    Verfalls- und Nichtigkeitsverfahren vor den ordentlichen Gerichten</w:t>
      </w:r>
    </w:p>
    <w:p>
      <w:r>
        <w:rPr>
          <w:rFonts w:ascii="Courier New" w:hAnsi="Courier New"/>
          <w:sz w:val="17"/>
        </w:rPr>
        <w:t xml:space="preserve">        Abschnitt 4</w:t>
      </w:r>
    </w:p>
    <w:p>
      <w:r>
        <w:rPr>
          <w:rFonts w:ascii="Courier New" w:hAnsi="Courier New"/>
          <w:sz w:val="17"/>
        </w:rPr>
        <w:t xml:space="preserve">            Allgemeine Vorschriften für das Verfahren vor dem Deutschen Patent- und Markenamt</w:t>
      </w:r>
    </w:p>
    <w:p>
      <w:r>
        <w:rPr>
          <w:rFonts w:ascii="Courier New" w:hAnsi="Courier New"/>
          <w:sz w:val="17"/>
        </w:rPr>
        <w:t xml:space="preserve">§ 56    Zuständigkeiten im Deutschen Patent- und Markenamt</w:t>
      </w:r>
    </w:p>
    <w:p>
      <w:r>
        <w:rPr>
          <w:rFonts w:ascii="Courier New" w:hAnsi="Courier New"/>
          <w:sz w:val="17"/>
        </w:rPr>
        <w:t xml:space="preserve">§ 57    Ausschließung und Ablehnung</w:t>
      </w:r>
    </w:p>
    <w:p>
      <w:r>
        <w:rPr>
          <w:rFonts w:ascii="Courier New" w:hAnsi="Courier New"/>
          <w:sz w:val="17"/>
        </w:rPr>
        <w:t xml:space="preserve">§ 58    Gutachten</w:t>
      </w:r>
    </w:p>
    <w:p>
      <w:r>
        <w:rPr>
          <w:rFonts w:ascii="Courier New" w:hAnsi="Courier New"/>
          <w:sz w:val="17"/>
        </w:rPr>
        <w:t xml:space="preserve">§ 59    Ermittlung des Sachverhalts; rechtliches Gehör</w:t>
      </w:r>
    </w:p>
    <w:p>
      <w:r>
        <w:rPr>
          <w:rFonts w:ascii="Courier New" w:hAnsi="Courier New"/>
          <w:sz w:val="17"/>
        </w:rPr>
        <w:t xml:space="preserve">§ 60    Ermittlungen; Anhörungen; Niederschrift</w:t>
      </w:r>
    </w:p>
    <w:p>
      <w:r>
        <w:rPr>
          <w:rFonts w:ascii="Courier New" w:hAnsi="Courier New"/>
          <w:sz w:val="17"/>
        </w:rPr>
        <w:t xml:space="preserve">§ 61    Beschlüsse; Rechtsmittelbelehrung</w:t>
      </w:r>
    </w:p>
    <w:p>
      <w:r>
        <w:rPr>
          <w:rFonts w:ascii="Courier New" w:hAnsi="Courier New"/>
          <w:sz w:val="17"/>
        </w:rPr>
        <w:t xml:space="preserve">§ 62    Akteneinsicht; Registereinsicht</w:t>
      </w:r>
    </w:p>
    <w:p>
      <w:r>
        <w:rPr>
          <w:rFonts w:ascii="Courier New" w:hAnsi="Courier New"/>
          <w:sz w:val="17"/>
        </w:rPr>
        <w:t xml:space="preserve">§ 62a    Datenschutz</w:t>
      </w:r>
    </w:p>
    <w:p>
      <w:r>
        <w:rPr>
          <w:rFonts w:ascii="Courier New" w:hAnsi="Courier New"/>
          <w:sz w:val="17"/>
        </w:rPr>
        <w:t xml:space="preserve">§ 63    Kosten der Verfahren</w:t>
      </w:r>
    </w:p>
    <w:p>
      <w:r>
        <w:rPr>
          <w:rFonts w:ascii="Courier New" w:hAnsi="Courier New"/>
          <w:sz w:val="17"/>
        </w:rPr>
        <w:t xml:space="preserve">§ 64    Erinnerung</w:t>
      </w:r>
    </w:p>
    <w:p>
      <w:r>
        <w:rPr>
          <w:rFonts w:ascii="Courier New" w:hAnsi="Courier New"/>
          <w:sz w:val="17"/>
        </w:rPr>
        <w:t xml:space="preserve">§ 64a    Kostenregelungen im Verfahren vor dem Deutschen Patent- und Markenamt</w:t>
      </w:r>
    </w:p>
    <w:p>
      <w:r>
        <w:rPr>
          <w:rFonts w:ascii="Courier New" w:hAnsi="Courier New"/>
          <w:sz w:val="17"/>
        </w:rPr>
        <w:t xml:space="preserve">§ 65    Rechtsverordnungsermächtigung</w:t>
      </w:r>
    </w:p>
    <w:p>
      <w:r>
        <w:rPr>
          <w:rFonts w:ascii="Courier New" w:hAnsi="Courier New"/>
          <w:sz w:val="17"/>
        </w:rPr>
        <w:t xml:space="preserve">§ 65a    Verwaltungszusammenarbeit</w:t>
      </w:r>
    </w:p>
    <w:p>
      <w:r>
        <w:rPr>
          <w:rFonts w:ascii="Courier New" w:hAnsi="Courier New"/>
          <w:sz w:val="17"/>
        </w:rPr>
        <w:t xml:space="preserve">        Abschnitt 5</w:t>
      </w:r>
    </w:p>
    <w:p>
      <w:r>
        <w:rPr>
          <w:rFonts w:ascii="Courier New" w:hAnsi="Courier New"/>
          <w:sz w:val="17"/>
        </w:rPr>
        <w:t xml:space="preserve">            Verfahren vor dem Bundespatentgericht</w:t>
      </w:r>
    </w:p>
    <w:p>
      <w:r>
        <w:rPr>
          <w:rFonts w:ascii="Courier New" w:hAnsi="Courier New"/>
          <w:sz w:val="17"/>
        </w:rPr>
        <w:t xml:space="preserve">§ 66    Beschwerde</w:t>
      </w:r>
    </w:p>
    <w:p>
      <w:r>
        <w:rPr>
          <w:rFonts w:ascii="Courier New" w:hAnsi="Courier New"/>
          <w:sz w:val="17"/>
        </w:rPr>
        <w:t xml:space="preserve">§ 67    Beschwerdesenate; Öffentlichkeit der Verhandlung</w:t>
      </w:r>
    </w:p>
    <w:p>
      <w:r>
        <w:rPr>
          <w:rFonts w:ascii="Courier New" w:hAnsi="Courier New"/>
          <w:sz w:val="17"/>
        </w:rPr>
        <w:t xml:space="preserve">§ 68    Beteiligung des Präsidenten oder der Präsidentin des Deutschen Patent- und Markenamts</w:t>
      </w:r>
    </w:p>
    <w:p>
      <w:r>
        <w:rPr>
          <w:rFonts w:ascii="Courier New" w:hAnsi="Courier New"/>
          <w:sz w:val="17"/>
        </w:rPr>
        <w:t xml:space="preserve">§ 69    Mündliche Verhandlung</w:t>
      </w:r>
    </w:p>
    <w:p>
      <w:r>
        <w:rPr>
          <w:rFonts w:ascii="Courier New" w:hAnsi="Courier New"/>
          <w:sz w:val="17"/>
        </w:rPr>
        <w:t xml:space="preserve">§ 70    Entscheidung über die Beschwerde</w:t>
      </w:r>
    </w:p>
    <w:p>
      <w:r>
        <w:rPr>
          <w:rFonts w:ascii="Courier New" w:hAnsi="Courier New"/>
          <w:sz w:val="17"/>
        </w:rPr>
        <w:t xml:space="preserve">§ 71    Kosten des Beschwerdeverfahrens</w:t>
      </w:r>
    </w:p>
    <w:p>
      <w:r>
        <w:rPr>
          <w:rFonts w:ascii="Courier New" w:hAnsi="Courier New"/>
          <w:sz w:val="17"/>
        </w:rPr>
        <w:t xml:space="preserve">§ 72    Ausschließung und Ablehnung</w:t>
      </w:r>
    </w:p>
    <w:p>
      <w:r>
        <w:rPr>
          <w:rFonts w:ascii="Courier New" w:hAnsi="Courier New"/>
          <w:sz w:val="17"/>
        </w:rPr>
        <w:t xml:space="preserve">§ 73    Ermittlung des Sachverhalts; Vorbereitung der mündlichen Verhandlung</w:t>
      </w:r>
    </w:p>
    <w:p>
      <w:r>
        <w:rPr>
          <w:rFonts w:ascii="Courier New" w:hAnsi="Courier New"/>
          <w:sz w:val="17"/>
        </w:rPr>
        <w:t xml:space="preserve">§ 74    Beweiserhebung</w:t>
      </w:r>
    </w:p>
    <w:p>
      <w:r>
        <w:rPr>
          <w:rFonts w:ascii="Courier New" w:hAnsi="Courier New"/>
          <w:sz w:val="17"/>
        </w:rPr>
        <w:t xml:space="preserve">§ 75    Ladungen</w:t>
      </w:r>
    </w:p>
    <w:p>
      <w:r>
        <w:rPr>
          <w:rFonts w:ascii="Courier New" w:hAnsi="Courier New"/>
          <w:sz w:val="17"/>
        </w:rPr>
        <w:t xml:space="preserve">§ 76    Gang der Verhandlung</w:t>
      </w:r>
    </w:p>
    <w:p>
      <w:r>
        <w:rPr>
          <w:rFonts w:ascii="Courier New" w:hAnsi="Courier New"/>
          <w:sz w:val="17"/>
        </w:rPr>
        <w:t xml:space="preserve">§ 77    Niederschrift</w:t>
      </w:r>
    </w:p>
    <w:p>
      <w:r>
        <w:rPr>
          <w:rFonts w:ascii="Courier New" w:hAnsi="Courier New"/>
          <w:sz w:val="17"/>
        </w:rPr>
        <w:t xml:space="preserve">§ 78    Beweiswürdigung; rechtliches Gehör</w:t>
      </w:r>
    </w:p>
    <w:p>
      <w:r>
        <w:rPr>
          <w:rFonts w:ascii="Courier New" w:hAnsi="Courier New"/>
          <w:sz w:val="17"/>
        </w:rPr>
        <w:t xml:space="preserve">§ 79    Verkündung; Zustellung; Begründung</w:t>
      </w:r>
    </w:p>
    <w:p>
      <w:r>
        <w:rPr>
          <w:rFonts w:ascii="Courier New" w:hAnsi="Courier New"/>
          <w:sz w:val="17"/>
        </w:rPr>
        <w:t xml:space="preserve">§ 80    Berichtigungen</w:t>
      </w:r>
    </w:p>
    <w:p>
      <w:r>
        <w:rPr>
          <w:rFonts w:ascii="Courier New" w:hAnsi="Courier New"/>
          <w:sz w:val="17"/>
        </w:rPr>
        <w:t xml:space="preserve">§ 81    Vertretung; Vollmacht</w:t>
      </w:r>
    </w:p>
    <w:p>
      <w:r>
        <w:rPr>
          <w:rFonts w:ascii="Courier New" w:hAnsi="Courier New"/>
          <w:sz w:val="17"/>
        </w:rPr>
        <w:t xml:space="preserve">§ 81a    Verfahrenskostenhilfe</w:t>
      </w:r>
    </w:p>
    <w:p>
      <w:r>
        <w:rPr>
          <w:rFonts w:ascii="Courier New" w:hAnsi="Courier New"/>
          <w:sz w:val="17"/>
        </w:rPr>
        <w:t xml:space="preserve">§ 82    Anwendung weiterer Vorschriften; Anfechtbarkeit; Akteneinsicht</w:t>
      </w:r>
    </w:p>
    <w:p>
      <w:r>
        <w:rPr>
          <w:rFonts w:ascii="Courier New" w:hAnsi="Courier New"/>
          <w:sz w:val="17"/>
        </w:rPr>
        <w:t xml:space="preserve">        Abschnitt 6</w:t>
      </w:r>
    </w:p>
    <w:p>
      <w:r>
        <w:rPr>
          <w:rFonts w:ascii="Courier New" w:hAnsi="Courier New"/>
          <w:sz w:val="17"/>
        </w:rPr>
        <w:t xml:space="preserve">            Verfahren vor dem Bundesgerichtshof</w:t>
      </w:r>
    </w:p>
    <w:p>
      <w:r>
        <w:rPr>
          <w:rFonts w:ascii="Courier New" w:hAnsi="Courier New"/>
          <w:sz w:val="17"/>
        </w:rPr>
        <w:t xml:space="preserve">§ 83    Zugelassene und zulassungsfreie Rechtsbeschwerde</w:t>
      </w:r>
    </w:p>
    <w:p>
      <w:r>
        <w:rPr>
          <w:rFonts w:ascii="Courier New" w:hAnsi="Courier New"/>
          <w:sz w:val="17"/>
        </w:rPr>
        <w:t xml:space="preserve">§ 84    Beschwerdeberechtigung; Beschwerdegründe</w:t>
      </w:r>
    </w:p>
    <w:p>
      <w:r>
        <w:rPr>
          <w:rFonts w:ascii="Courier New" w:hAnsi="Courier New"/>
          <w:sz w:val="17"/>
        </w:rPr>
        <w:t xml:space="preserve">§ 85    Förmliche Voraussetzungen</w:t>
      </w:r>
    </w:p>
    <w:p>
      <w:r>
        <w:rPr>
          <w:rFonts w:ascii="Courier New" w:hAnsi="Courier New"/>
          <w:sz w:val="17"/>
        </w:rPr>
        <w:t xml:space="preserve">§ 86    Prüfung der Zulässigkeit</w:t>
      </w:r>
    </w:p>
    <w:p>
      <w:r>
        <w:rPr>
          <w:rFonts w:ascii="Courier New" w:hAnsi="Courier New"/>
          <w:sz w:val="17"/>
        </w:rPr>
        <w:t xml:space="preserve">§ 87    Mehrere Beteiligte</w:t>
      </w:r>
    </w:p>
    <w:p>
      <w:r>
        <w:rPr>
          <w:rFonts w:ascii="Courier New" w:hAnsi="Courier New"/>
          <w:sz w:val="17"/>
        </w:rPr>
        <w:t xml:space="preserve">§ 88    Anwendung weiterer Vorschriften</w:t>
      </w:r>
    </w:p>
    <w:p>
      <w:r>
        <w:rPr>
          <w:rFonts w:ascii="Courier New" w:hAnsi="Courier New"/>
          <w:sz w:val="17"/>
        </w:rPr>
        <w:t xml:space="preserve">§ 89    Entscheidung über die Rechtsbeschwerde</w:t>
      </w:r>
    </w:p>
    <w:p>
      <w:r>
        <w:rPr>
          <w:rFonts w:ascii="Courier New" w:hAnsi="Courier New"/>
          <w:sz w:val="17"/>
        </w:rPr>
        <w:t xml:space="preserve">§ 89a    Abhilfe bei Verletzung des Anspruchs auf rechtliches Gehör</w:t>
      </w:r>
    </w:p>
    <w:p>
      <w:r>
        <w:rPr>
          <w:rFonts w:ascii="Courier New" w:hAnsi="Courier New"/>
          <w:sz w:val="17"/>
        </w:rPr>
        <w:t xml:space="preserve">§ 90    Kostenentscheidung</w:t>
      </w:r>
    </w:p>
    <w:p>
      <w:r>
        <w:rPr>
          <w:rFonts w:ascii="Courier New" w:hAnsi="Courier New"/>
          <w:sz w:val="17"/>
        </w:rPr>
        <w:t xml:space="preserve">        Abschnitt 7</w:t>
      </w:r>
    </w:p>
    <w:p>
      <w:r>
        <w:rPr>
          <w:rFonts w:ascii="Courier New" w:hAnsi="Courier New"/>
          <w:sz w:val="17"/>
        </w:rPr>
        <w:t xml:space="preserve">            Gemeinsame Vorschriften</w:t>
      </w:r>
    </w:p>
    <w:p>
      <w:r>
        <w:rPr>
          <w:rFonts w:ascii="Courier New" w:hAnsi="Courier New"/>
          <w:sz w:val="17"/>
        </w:rPr>
        <w:t xml:space="preserve">§ 91    Wiedereinsetzung</w:t>
      </w:r>
    </w:p>
    <w:p>
      <w:r>
        <w:rPr>
          <w:rFonts w:ascii="Courier New" w:hAnsi="Courier New"/>
          <w:sz w:val="17"/>
        </w:rPr>
        <w:t xml:space="preserve">§ 91a    Weiterbehandlung der Anmeldung</w:t>
      </w:r>
    </w:p>
    <w:p>
      <w:r>
        <w:rPr>
          <w:rFonts w:ascii="Courier New" w:hAnsi="Courier New"/>
          <w:sz w:val="17"/>
        </w:rPr>
        <w:t xml:space="preserve">§ 92    Wahrheitspflicht</w:t>
      </w:r>
    </w:p>
    <w:p>
      <w:r>
        <w:rPr>
          <w:rFonts w:ascii="Courier New" w:hAnsi="Courier New"/>
          <w:sz w:val="17"/>
        </w:rPr>
        <w:t xml:space="preserve">§ 93    Amtssprache und Gerichtssprache</w:t>
      </w:r>
    </w:p>
    <w:p>
      <w:r>
        <w:rPr>
          <w:rFonts w:ascii="Courier New" w:hAnsi="Courier New"/>
          <w:sz w:val="17"/>
        </w:rPr>
        <w:t xml:space="preserve">§ 93a    Entschädigung von Zeugen, Vergütung von Sachverständigen</w:t>
      </w:r>
    </w:p>
    <w:p>
      <w:r>
        <w:rPr>
          <w:rFonts w:ascii="Courier New" w:hAnsi="Courier New"/>
          <w:sz w:val="17"/>
        </w:rPr>
        <w:t xml:space="preserve">§ 94    Zustellungen; Verordnungsermächtigung</w:t>
      </w:r>
    </w:p>
    <w:p>
      <w:r>
        <w:rPr>
          <w:rFonts w:ascii="Courier New" w:hAnsi="Courier New"/>
          <w:sz w:val="17"/>
        </w:rPr>
        <w:t xml:space="preserve">§ 95    Rechtshilfe</w:t>
      </w:r>
    </w:p>
    <w:p>
      <w:r>
        <w:rPr>
          <w:rFonts w:ascii="Courier New" w:hAnsi="Courier New"/>
          <w:sz w:val="17"/>
        </w:rPr>
        <w:t xml:space="preserve">§ 95a    Elektronische Verfahrensführung, Verordnungsermächtigung</w:t>
      </w:r>
    </w:p>
    <w:p>
      <w:r>
        <w:rPr>
          <w:rFonts w:ascii="Courier New" w:hAnsi="Courier New"/>
          <w:sz w:val="17"/>
        </w:rPr>
        <w:t xml:space="preserve">§ 96    Inlandsvertreter</w:t>
      </w:r>
    </w:p>
    <w:p>
      <w:r>
        <w:rPr>
          <w:rFonts w:ascii="Courier New" w:hAnsi="Courier New"/>
          <w:sz w:val="17"/>
        </w:rPr>
        <w:t xml:space="preserve">§ 96a    Rechtsschutz bei überlangen Gerichtsverfahren</w:t>
      </w:r>
    </w:p>
    <w:p>
      <w:r>
        <w:rPr>
          <w:rFonts w:ascii="Courier New" w:hAnsi="Courier New"/>
          <w:sz w:val="17"/>
        </w:rPr>
        <w:t xml:space="preserve">Teil 4</w:t>
      </w:r>
    </w:p>
    <w:p>
      <w:r>
        <w:rPr>
          <w:rFonts w:ascii="Courier New" w:hAnsi="Courier New"/>
          <w:sz w:val="17"/>
        </w:rPr>
        <w:t xml:space="preserve">    Kollektivmarken</w:t>
      </w:r>
    </w:p>
    <w:p>
      <w:r>
        <w:rPr>
          <w:rFonts w:ascii="Courier New" w:hAnsi="Courier New"/>
          <w:sz w:val="17"/>
        </w:rPr>
        <w:t xml:space="preserve">§ 97    Kollektivmarken</w:t>
      </w:r>
    </w:p>
    <w:p>
      <w:r>
        <w:rPr>
          <w:rFonts w:ascii="Courier New" w:hAnsi="Courier New"/>
          <w:sz w:val="17"/>
        </w:rPr>
        <w:t xml:space="preserve">§ 98    Inhaberschaft</w:t>
      </w:r>
    </w:p>
    <w:p>
      <w:r>
        <w:rPr>
          <w:rFonts w:ascii="Courier New" w:hAnsi="Courier New"/>
          <w:sz w:val="17"/>
        </w:rPr>
        <w:t xml:space="preserve">§ 99    Geografische Herkunftsangaben als Kollektivmarken</w:t>
      </w:r>
    </w:p>
    <w:p>
      <w:r>
        <w:rPr>
          <w:rFonts w:ascii="Courier New" w:hAnsi="Courier New"/>
          <w:sz w:val="17"/>
        </w:rPr>
        <w:t xml:space="preserve">§ 100    Benutzung</w:t>
      </w:r>
    </w:p>
    <w:p>
      <w:r>
        <w:rPr>
          <w:rFonts w:ascii="Courier New" w:hAnsi="Courier New"/>
          <w:sz w:val="17"/>
        </w:rPr>
        <w:t xml:space="preserve">§ 101    Klagebefugnis; Schadensersatz</w:t>
      </w:r>
    </w:p>
    <w:p>
      <w:r>
        <w:rPr>
          <w:rFonts w:ascii="Courier New" w:hAnsi="Courier New"/>
          <w:sz w:val="17"/>
        </w:rPr>
        <w:t xml:space="preserve">§ 102    Kollektivmarkensatzung</w:t>
      </w:r>
    </w:p>
    <w:p>
      <w:r>
        <w:rPr>
          <w:rFonts w:ascii="Courier New" w:hAnsi="Courier New"/>
          <w:sz w:val="17"/>
        </w:rPr>
        <w:t xml:space="preserve">§ 103    Prüfung der Anmeldung</w:t>
      </w:r>
    </w:p>
    <w:p>
      <w:r>
        <w:rPr>
          <w:rFonts w:ascii="Courier New" w:hAnsi="Courier New"/>
          <w:sz w:val="17"/>
        </w:rPr>
        <w:t xml:space="preserve">§ 104    Änderung der Kollektivmarkensatzung</w:t>
      </w:r>
    </w:p>
    <w:p>
      <w:r>
        <w:rPr>
          <w:rFonts w:ascii="Courier New" w:hAnsi="Courier New"/>
          <w:sz w:val="17"/>
        </w:rPr>
        <w:t xml:space="preserve">§ 105    Verfall</w:t>
      </w:r>
    </w:p>
    <w:p>
      <w:r>
        <w:rPr>
          <w:rFonts w:ascii="Courier New" w:hAnsi="Courier New"/>
          <w:sz w:val="17"/>
        </w:rPr>
        <w:t xml:space="preserve">§ 106    Nichtigkeit wegen absoluter Schutzhindernisse</w:t>
      </w:r>
    </w:p>
    <w:p>
      <w:r>
        <w:rPr>
          <w:rFonts w:ascii="Courier New" w:hAnsi="Courier New"/>
          <w:sz w:val="17"/>
        </w:rPr>
        <w:t xml:space="preserve">Teil 5</w:t>
      </w:r>
    </w:p>
    <w:p>
      <w:r>
        <w:rPr>
          <w:rFonts w:ascii="Courier New" w:hAnsi="Courier New"/>
          <w:sz w:val="17"/>
        </w:rPr>
        <w:t xml:space="preserve">    Gewährleistungsmarken</w:t>
      </w:r>
    </w:p>
    <w:p>
      <w:r>
        <w:rPr>
          <w:rFonts w:ascii="Courier New" w:hAnsi="Courier New"/>
          <w:sz w:val="17"/>
        </w:rPr>
        <w:t xml:space="preserve">§ 106a    Gewährleistungsmarken</w:t>
      </w:r>
    </w:p>
    <w:p>
      <w:r>
        <w:rPr>
          <w:rFonts w:ascii="Courier New" w:hAnsi="Courier New"/>
          <w:sz w:val="17"/>
        </w:rPr>
        <w:t xml:space="preserve">§ 106b    Inhaberschaft und ernsthafte Benutzung</w:t>
      </w:r>
    </w:p>
    <w:p>
      <w:r>
        <w:rPr>
          <w:rFonts w:ascii="Courier New" w:hAnsi="Courier New"/>
          <w:sz w:val="17"/>
        </w:rPr>
        <w:t xml:space="preserve">§ 106c    Klagebefugnis; Schadensersatz</w:t>
      </w:r>
    </w:p>
    <w:p>
      <w:r>
        <w:rPr>
          <w:rFonts w:ascii="Courier New" w:hAnsi="Courier New"/>
          <w:sz w:val="17"/>
        </w:rPr>
        <w:t xml:space="preserve">§ 106d    Gewährleistungsmarkensatzung</w:t>
      </w:r>
    </w:p>
    <w:p>
      <w:r>
        <w:rPr>
          <w:rFonts w:ascii="Courier New" w:hAnsi="Courier New"/>
          <w:sz w:val="17"/>
        </w:rPr>
        <w:t xml:space="preserve">§ 106e    Prüfung der Anmeldung</w:t>
      </w:r>
    </w:p>
    <w:p>
      <w:r>
        <w:rPr>
          <w:rFonts w:ascii="Courier New" w:hAnsi="Courier New"/>
          <w:sz w:val="17"/>
        </w:rPr>
        <w:t xml:space="preserve">§ 106f    Änderung der Gewährleistungsmarkensatzung</w:t>
      </w:r>
    </w:p>
    <w:p>
      <w:r>
        <w:rPr>
          <w:rFonts w:ascii="Courier New" w:hAnsi="Courier New"/>
          <w:sz w:val="17"/>
        </w:rPr>
        <w:t xml:space="preserve">§ 106g    Verfall</w:t>
      </w:r>
    </w:p>
    <w:p>
      <w:r>
        <w:rPr>
          <w:rFonts w:ascii="Courier New" w:hAnsi="Courier New"/>
          <w:sz w:val="17"/>
        </w:rPr>
        <w:t xml:space="preserve">§ 106h    Nichtigkeit wegen absoluter Schutzhindernisse</w:t>
      </w:r>
    </w:p>
    <w:p>
      <w:r>
        <w:rPr>
          <w:rFonts w:ascii="Courier New" w:hAnsi="Courier New"/>
          <w:sz w:val="17"/>
        </w:rPr>
        <w:t xml:space="preserve">Teil 6</w:t>
      </w:r>
    </w:p>
    <w:p>
      <w:r>
        <w:rPr>
          <w:rFonts w:ascii="Courier New" w:hAnsi="Courier New"/>
          <w:sz w:val="17"/>
        </w:rPr>
        <w:t xml:space="preserve">    Schutz von Marken nach dem Protokoll zum Madrider Markenabkommen; Unionsmarken</w:t>
      </w:r>
    </w:p>
    <w:p>
      <w:r>
        <w:rPr>
          <w:rFonts w:ascii="Courier New" w:hAnsi="Courier New"/>
          <w:sz w:val="17"/>
        </w:rPr>
        <w:t xml:space="preserve">        Abschnitt 1</w:t>
      </w:r>
    </w:p>
    <w:p>
      <w:r>
        <w:rPr>
          <w:rFonts w:ascii="Courier New" w:hAnsi="Courier New"/>
          <w:sz w:val="17"/>
        </w:rPr>
        <w:t xml:space="preserve">            Schutz von Marken nach dem Protokoll zum Madrider Markenabkommen</w:t>
      </w:r>
    </w:p>
    <w:p>
      <w:r>
        <w:rPr>
          <w:rFonts w:ascii="Courier New" w:hAnsi="Courier New"/>
          <w:sz w:val="17"/>
        </w:rPr>
        <w:t xml:space="preserve">§ 107    Anwendung der Vorschriften dieses Gesetzes; Sprachen</w:t>
      </w:r>
    </w:p>
    <w:p>
      <w:r>
        <w:rPr>
          <w:rFonts w:ascii="Courier New" w:hAnsi="Courier New"/>
          <w:sz w:val="17"/>
        </w:rPr>
        <w:t xml:space="preserve">§ 108    Antrag auf internationale Registrierung</w:t>
      </w:r>
    </w:p>
    <w:p>
      <w:r>
        <w:rPr>
          <w:rFonts w:ascii="Courier New" w:hAnsi="Courier New"/>
          <w:sz w:val="17"/>
        </w:rPr>
        <w:t xml:space="preserve">§ 109    Gebühren</w:t>
      </w:r>
    </w:p>
    <w:p>
      <w:r>
        <w:rPr>
          <w:rFonts w:ascii="Courier New" w:hAnsi="Courier New"/>
          <w:sz w:val="17"/>
        </w:rPr>
        <w:t xml:space="preserve">§ 110    Vermerk in den Akten, Eintragung im Register</w:t>
      </w:r>
    </w:p>
    <w:p>
      <w:r>
        <w:rPr>
          <w:rFonts w:ascii="Courier New" w:hAnsi="Courier New"/>
          <w:sz w:val="17"/>
        </w:rPr>
        <w:t xml:space="preserve">§ 111    Nachträgliche Schutzerstreckung</w:t>
      </w:r>
    </w:p>
    <w:p>
      <w:r>
        <w:rPr>
          <w:rFonts w:ascii="Courier New" w:hAnsi="Courier New"/>
          <w:sz w:val="17"/>
        </w:rPr>
        <w:t xml:space="preserve">§ 112    Wirkung der internationalen Registrierung und der nachträglichen Schutzerstreckung</w:t>
      </w:r>
    </w:p>
    <w:p>
      <w:r>
        <w:rPr>
          <w:rFonts w:ascii="Courier New" w:hAnsi="Courier New"/>
          <w:sz w:val="17"/>
        </w:rPr>
        <w:t xml:space="preserve">§ 113    Prüfung auf absolute Schutzhindernisse</w:t>
      </w:r>
    </w:p>
    <w:p>
      <w:r>
        <w:rPr>
          <w:rFonts w:ascii="Courier New" w:hAnsi="Courier New"/>
          <w:sz w:val="17"/>
        </w:rPr>
        <w:t xml:space="preserve">§ 114    Widerspruch gegen eine international registrierte Marke</w:t>
      </w:r>
    </w:p>
    <w:p>
      <w:r>
        <w:rPr>
          <w:rFonts w:ascii="Courier New" w:hAnsi="Courier New"/>
          <w:sz w:val="17"/>
        </w:rPr>
        <w:t xml:space="preserve">§ 115    Schutzentziehung</w:t>
      </w:r>
    </w:p>
    <w:p>
      <w:r>
        <w:rPr>
          <w:rFonts w:ascii="Courier New" w:hAnsi="Courier New"/>
          <w:sz w:val="17"/>
        </w:rPr>
        <w:t xml:space="preserve">§ 116    Widerspruch aufgrund einer international registrierten Marke und Antrag oder Klage auf Erklärung der Nichtigkeit aufgrund einer international registrierten Marke</w:t>
      </w:r>
    </w:p>
    <w:p>
      <w:r>
        <w:rPr>
          <w:rFonts w:ascii="Courier New" w:hAnsi="Courier New"/>
          <w:sz w:val="17"/>
        </w:rPr>
        <w:t xml:space="preserve">§ 117    Ausschluss von Ansprüchen wegen mangelnder Benutzung</w:t>
      </w:r>
    </w:p>
    <w:p>
      <w:r>
        <w:rPr>
          <w:rFonts w:ascii="Courier New" w:hAnsi="Courier New"/>
          <w:sz w:val="17"/>
        </w:rPr>
        <w:t xml:space="preserve">§ 118    Umwandlung einer internationalen Registrierung</w:t>
      </w:r>
    </w:p>
    <w:p>
      <w:r>
        <w:rPr>
          <w:rFonts w:ascii="Courier New" w:hAnsi="Courier New"/>
          <w:sz w:val="17"/>
        </w:rPr>
        <w:t xml:space="preserve">        Abschnitt 2</w:t>
      </w:r>
    </w:p>
    <w:p>
      <w:r>
        <w:rPr>
          <w:rFonts w:ascii="Courier New" w:hAnsi="Courier New"/>
          <w:sz w:val="17"/>
        </w:rPr>
        <w:t xml:space="preserve">            Unionsmarken</w:t>
      </w:r>
    </w:p>
    <w:p>
      <w:r>
        <w:rPr>
          <w:rFonts w:ascii="Courier New" w:hAnsi="Courier New"/>
          <w:sz w:val="17"/>
        </w:rPr>
        <w:t xml:space="preserve">§ 119    Anwendung der Vorschriften dieses Gesetzes</w:t>
      </w:r>
    </w:p>
    <w:p>
      <w:r>
        <w:rPr>
          <w:rFonts w:ascii="Courier New" w:hAnsi="Courier New"/>
          <w:sz w:val="17"/>
        </w:rPr>
        <w:t xml:space="preserve">§ 120    Nachträgliche Feststellung der Ungültigkeit einer Marke</w:t>
      </w:r>
    </w:p>
    <w:p>
      <w:r>
        <w:rPr>
          <w:rFonts w:ascii="Courier New" w:hAnsi="Courier New"/>
          <w:sz w:val="17"/>
        </w:rPr>
        <w:t xml:space="preserve">§ 121    Umwandlung von Unionsmarken</w:t>
      </w:r>
    </w:p>
    <w:p>
      <w:r>
        <w:rPr>
          <w:rFonts w:ascii="Courier New" w:hAnsi="Courier New"/>
          <w:sz w:val="17"/>
        </w:rPr>
        <w:t xml:space="preserve">§ 122    Unionsmarkenstreitsachen; Unionsmarkengerichte</w:t>
      </w:r>
    </w:p>
    <w:p>
      <w:r>
        <w:rPr>
          <w:rFonts w:ascii="Courier New" w:hAnsi="Courier New"/>
          <w:sz w:val="17"/>
        </w:rPr>
        <w:t xml:space="preserve">§ 123    Unterrichtung der Kommission</w:t>
      </w:r>
    </w:p>
    <w:p>
      <w:r>
        <w:rPr>
          <w:rFonts w:ascii="Courier New" w:hAnsi="Courier New"/>
          <w:sz w:val="17"/>
        </w:rPr>
        <w:t xml:space="preserve">§ 124    Örtliche Zuständigkeit der Unionsmarkengerichte</w:t>
      </w:r>
    </w:p>
    <w:p>
      <w:r>
        <w:rPr>
          <w:rFonts w:ascii="Courier New" w:hAnsi="Courier New"/>
          <w:sz w:val="17"/>
        </w:rPr>
        <w:t xml:space="preserve">§ 125    Insolvenzverfahren</w:t>
      </w:r>
    </w:p>
    <w:p>
      <w:r>
        <w:rPr>
          <w:rFonts w:ascii="Courier New" w:hAnsi="Courier New"/>
          <w:sz w:val="17"/>
        </w:rPr>
        <w:t xml:space="preserve">§ 125a    Erteilung der Vollstreckungsklausel</w:t>
      </w:r>
    </w:p>
    <w:p>
      <w:r>
        <w:rPr>
          <w:rFonts w:ascii="Courier New" w:hAnsi="Courier New"/>
          <w:sz w:val="17"/>
        </w:rPr>
        <w:t xml:space="preserve">Teil 7</w:t>
      </w:r>
    </w:p>
    <w:p>
      <w:r>
        <w:rPr>
          <w:rFonts w:ascii="Courier New" w:hAnsi="Courier New"/>
          <w:sz w:val="17"/>
        </w:rPr>
        <w:t xml:space="preserve">    Geographische Herkunftsangaben</w:t>
      </w:r>
    </w:p>
    <w:p>
      <w:r>
        <w:rPr>
          <w:rFonts w:ascii="Courier New" w:hAnsi="Courier New"/>
          <w:sz w:val="17"/>
        </w:rPr>
        <w:t xml:space="preserve">        Abschnitt 1</w:t>
      </w:r>
    </w:p>
    <w:p>
      <w:r>
        <w:rPr>
          <w:rFonts w:ascii="Courier New" w:hAnsi="Courier New"/>
          <w:sz w:val="17"/>
        </w:rPr>
        <w:t xml:space="preserve">            Schutz geographischer Herkunftsangaben</w:t>
      </w:r>
    </w:p>
    <w:p>
      <w:r>
        <w:rPr>
          <w:rFonts w:ascii="Courier New" w:hAnsi="Courier New"/>
          <w:sz w:val="17"/>
        </w:rPr>
        <w:t xml:space="preserve">§ 126    Als geographische Herkunftsangaben geschützte Namen, Angaben oder Zeichen</w:t>
      </w:r>
    </w:p>
    <w:p>
      <w:r>
        <w:rPr>
          <w:rFonts w:ascii="Courier New" w:hAnsi="Courier New"/>
          <w:sz w:val="17"/>
        </w:rPr>
        <w:t xml:space="preserve">§ 127    Schutzinhalt</w:t>
      </w:r>
    </w:p>
    <w:p>
      <w:r>
        <w:rPr>
          <w:rFonts w:ascii="Courier New" w:hAnsi="Courier New"/>
          <w:sz w:val="17"/>
        </w:rPr>
        <w:t xml:space="preserve">§ 128    Ansprüche wegen Verletzung</w:t>
      </w:r>
    </w:p>
    <w:p>
      <w:r>
        <w:rPr>
          <w:rFonts w:ascii="Courier New" w:hAnsi="Courier New"/>
          <w:sz w:val="17"/>
        </w:rPr>
        <w:t xml:space="preserve">§ 129    Verjährung</w:t>
      </w:r>
    </w:p>
    <w:p>
      <w:r>
        <w:rPr>
          <w:rFonts w:ascii="Courier New" w:hAnsi="Courier New"/>
          <w:sz w:val="17"/>
        </w:rPr>
        <w:t xml:space="preserve">        Abschnitt 2</w:t>
      </w:r>
    </w:p>
    <w:p>
      <w:r>
        <w:rPr>
          <w:rFonts w:ascii="Courier New" w:hAnsi="Courier New"/>
          <w:sz w:val="17"/>
        </w:rPr>
        <w:t xml:space="preserve">            Schutz von geografischen Angaben gemäß der Verordnung (EU) 2023/2411</w:t>
      </w:r>
    </w:p>
    <w:p>
      <w:r>
        <w:rPr>
          <w:rFonts w:ascii="Courier New" w:hAnsi="Courier New"/>
          <w:sz w:val="17"/>
        </w:rPr>
        <w:t xml:space="preserve">§ 129a    Geltungsbereich</w:t>
      </w:r>
    </w:p>
    <w:p>
      <w:r>
        <w:rPr>
          <w:rFonts w:ascii="Courier New" w:hAnsi="Courier New"/>
          <w:sz w:val="17"/>
        </w:rPr>
        <w:t xml:space="preserve">§ 130    Verfahren vor dem Deutschen Patent- und Markenamt; nationales Einspruchsverfahren</w:t>
      </w:r>
    </w:p>
    <w:p>
      <w:r>
        <w:rPr>
          <w:rFonts w:ascii="Courier New" w:hAnsi="Courier New"/>
          <w:sz w:val="17"/>
        </w:rPr>
        <w:t xml:space="preserve">§ 131    Unionsphase</w:t>
      </w:r>
    </w:p>
    <w:p>
      <w:r>
        <w:rPr>
          <w:rFonts w:ascii="Courier New" w:hAnsi="Courier New"/>
          <w:sz w:val="17"/>
        </w:rPr>
        <w:t xml:space="preserve">§ 132    Antrag auf Änderung der Produktspezifikation, Löschungsverfahren</w:t>
      </w:r>
    </w:p>
    <w:p>
      <w:r>
        <w:rPr>
          <w:rFonts w:ascii="Courier New" w:hAnsi="Courier New"/>
          <w:sz w:val="17"/>
        </w:rPr>
        <w:t xml:space="preserve">§ 132a    Internationale Registrierung</w:t>
      </w:r>
    </w:p>
    <w:p>
      <w:r>
        <w:rPr>
          <w:rFonts w:ascii="Courier New" w:hAnsi="Courier New"/>
          <w:sz w:val="17"/>
        </w:rPr>
        <w:t xml:space="preserve">§ 133    Rechtsmittel</w:t>
      </w:r>
    </w:p>
    <w:p>
      <w:r>
        <w:rPr>
          <w:rFonts w:ascii="Courier New" w:hAnsi="Courier New"/>
          <w:sz w:val="17"/>
        </w:rPr>
        <w:t xml:space="preserve">§ 134    Kontrolle</w:t>
      </w:r>
    </w:p>
    <w:p>
      <w:r>
        <w:rPr>
          <w:rFonts w:ascii="Courier New" w:hAnsi="Courier New"/>
          <w:sz w:val="17"/>
        </w:rPr>
        <w:t xml:space="preserve">§ 134a    Datenverarbeitung im Zusammenhang mit Kontrollen</w:t>
      </w:r>
    </w:p>
    <w:p>
      <w:r>
        <w:rPr>
          <w:rFonts w:ascii="Courier New" w:hAnsi="Courier New"/>
          <w:sz w:val="17"/>
        </w:rPr>
        <w:t xml:space="preserve">§ 134b    Amtshilfe für Behörden anderer Mitgliedstaaten</w:t>
      </w:r>
    </w:p>
    <w:p>
      <w:r>
        <w:rPr>
          <w:rFonts w:ascii="Courier New" w:hAnsi="Courier New"/>
          <w:sz w:val="17"/>
        </w:rPr>
        <w:t xml:space="preserve">§ 135    Ansprüche wegen Verletzung</w:t>
      </w:r>
    </w:p>
    <w:p>
      <w:r>
        <w:rPr>
          <w:rFonts w:ascii="Courier New" w:hAnsi="Courier New"/>
          <w:sz w:val="17"/>
        </w:rPr>
        <w:t xml:space="preserve">§ 136    Verjährung</w:t>
      </w:r>
    </w:p>
    <w:p>
      <w:r>
        <w:rPr>
          <w:rFonts w:ascii="Courier New" w:hAnsi="Courier New"/>
          <w:sz w:val="17"/>
        </w:rPr>
        <w:t xml:space="preserve">        Abschnitt 3</w:t>
      </w:r>
    </w:p>
    <w:p>
      <w:r>
        <w:rPr>
          <w:rFonts w:ascii="Courier New" w:hAnsi="Courier New"/>
          <w:sz w:val="17"/>
        </w:rPr>
        <w:t xml:space="preserve">            Schutz von geografischen Angaben für handwerkliche und industrielle Erzeugnisse auf der Grundlage internationaler Übereinkünfte</w:t>
      </w:r>
    </w:p>
    <w:p>
      <w:r>
        <w:rPr>
          <w:rFonts w:ascii="Courier New" w:hAnsi="Courier New"/>
          <w:sz w:val="17"/>
        </w:rPr>
        <w:t xml:space="preserve">§ 137    Schutzumfang, Kontrolle und Durchsetzung</w:t>
      </w:r>
    </w:p>
    <w:p>
      <w:r>
        <w:rPr>
          <w:rFonts w:ascii="Courier New" w:hAnsi="Courier New"/>
          <w:sz w:val="17"/>
        </w:rPr>
        <w:t xml:space="preserve">        Abschnitt 4</w:t>
      </w:r>
    </w:p>
    <w:p>
      <w:r>
        <w:rPr>
          <w:rFonts w:ascii="Courier New" w:hAnsi="Courier New"/>
          <w:sz w:val="17"/>
        </w:rPr>
        <w:t xml:space="preserve">            Ermächtigungen zum Erlass von Rechtsverordnungen</w:t>
      </w:r>
    </w:p>
    <w:p>
      <w:r>
        <w:rPr>
          <w:rFonts w:ascii="Courier New" w:hAnsi="Courier New"/>
          <w:sz w:val="17"/>
        </w:rPr>
        <w:t xml:space="preserve">§ 138    Sonstige Vorschriften für das Verfahren bei Anträgen und Einsprüchen nach der Verordnung (EU) 2023/2411; Verordnungsermächtigung</w:t>
      </w:r>
    </w:p>
    <w:p>
      <w:r>
        <w:rPr>
          <w:rFonts w:ascii="Courier New" w:hAnsi="Courier New"/>
          <w:sz w:val="17"/>
        </w:rPr>
        <w:t xml:space="preserve">§ 139    Durchführungsbestimmungen zur Verordnung (EU) 2023/2411; Verordnungsermächtigung</w:t>
      </w:r>
    </w:p>
    <w:p>
      <w:r>
        <w:rPr>
          <w:rFonts w:ascii="Courier New" w:hAnsi="Courier New"/>
          <w:sz w:val="17"/>
        </w:rPr>
        <w:t xml:space="preserve">Teil 8</w:t>
      </w:r>
    </w:p>
    <w:p>
      <w:r>
        <w:rPr>
          <w:rFonts w:ascii="Courier New" w:hAnsi="Courier New"/>
          <w:sz w:val="17"/>
        </w:rPr>
        <w:t xml:space="preserve">    Verfahren in Kennzeichenstreitsachen</w:t>
      </w:r>
    </w:p>
    <w:p>
      <w:r>
        <w:rPr>
          <w:rFonts w:ascii="Courier New" w:hAnsi="Courier New"/>
          <w:sz w:val="17"/>
        </w:rPr>
        <w:t xml:space="preserve">§ 140    Kennzeichenstreitsachen</w:t>
      </w:r>
    </w:p>
    <w:p>
      <w:r>
        <w:rPr>
          <w:rFonts w:ascii="Courier New" w:hAnsi="Courier New"/>
          <w:sz w:val="17"/>
        </w:rPr>
        <w:t xml:space="preserve">§ 141    Gerichtsstand bei Ansprüchen nach diesem Gesetz und dem Gesetz gegen den unlauteren Wettbewerb</w:t>
      </w:r>
    </w:p>
    <w:p>
      <w:r>
        <w:rPr>
          <w:rFonts w:ascii="Courier New" w:hAnsi="Courier New"/>
          <w:sz w:val="17"/>
        </w:rPr>
        <w:t xml:space="preserve">§ 142    Streitwertbegünstigung</w:t>
      </w:r>
    </w:p>
    <w:p>
      <w:r>
        <w:rPr>
          <w:rFonts w:ascii="Courier New" w:hAnsi="Courier New"/>
          <w:sz w:val="17"/>
        </w:rPr>
        <w:t xml:space="preserve">Teil 9</w:t>
      </w:r>
    </w:p>
    <w:p>
      <w:r>
        <w:rPr>
          <w:rFonts w:ascii="Courier New" w:hAnsi="Courier New"/>
          <w:sz w:val="17"/>
        </w:rPr>
        <w:t xml:space="preserve">    Straf- und Bußgeldvorschriften; Beschlagnahme bei der Einfuhr und Ausfuhr</w:t>
      </w:r>
    </w:p>
    <w:p>
      <w:r>
        <w:rPr>
          <w:rFonts w:ascii="Courier New" w:hAnsi="Courier New"/>
          <w:sz w:val="17"/>
        </w:rPr>
        <w:t xml:space="preserve">        Abschnitt 1</w:t>
      </w:r>
    </w:p>
    <w:p>
      <w:r>
        <w:rPr>
          <w:rFonts w:ascii="Courier New" w:hAnsi="Courier New"/>
          <w:sz w:val="17"/>
        </w:rPr>
        <w:t xml:space="preserve">            Straf- und Bußgeldvorschriften</w:t>
      </w:r>
    </w:p>
    <w:p>
      <w:r>
        <w:rPr>
          <w:rFonts w:ascii="Courier New" w:hAnsi="Courier New"/>
          <w:sz w:val="17"/>
        </w:rPr>
        <w:t xml:space="preserve">§ 143    Strafbare Kennzeichenverletzung</w:t>
      </w:r>
    </w:p>
    <w:p>
      <w:r>
        <w:rPr>
          <w:rFonts w:ascii="Courier New" w:hAnsi="Courier New"/>
          <w:sz w:val="17"/>
        </w:rPr>
        <w:t xml:space="preserve">§ 144    Strafbare Verletzung der Unionsmarke</w:t>
      </w:r>
    </w:p>
    <w:p>
      <w:r>
        <w:rPr>
          <w:rFonts w:ascii="Courier New" w:hAnsi="Courier New"/>
          <w:sz w:val="17"/>
        </w:rPr>
        <w:t xml:space="preserve">§ 145    Bußgeldvorschriften</w:t>
      </w:r>
    </w:p>
    <w:p>
      <w:r>
        <w:rPr>
          <w:rFonts w:ascii="Courier New" w:hAnsi="Courier New"/>
          <w:sz w:val="17"/>
        </w:rPr>
        <w:t xml:space="preserve">§ 145a    Beseitigung von Kennzeichnungen und Vernichtung von Gegenständen im Bußgeldverfahren</w:t>
      </w:r>
    </w:p>
    <w:p>
      <w:r>
        <w:rPr>
          <w:rFonts w:ascii="Courier New" w:hAnsi="Courier New"/>
          <w:sz w:val="17"/>
        </w:rPr>
        <w:t xml:space="preserve">        Abschnitt 2</w:t>
      </w:r>
    </w:p>
    <w:p>
      <w:r>
        <w:rPr>
          <w:rFonts w:ascii="Courier New" w:hAnsi="Courier New"/>
          <w:sz w:val="17"/>
        </w:rPr>
        <w:t xml:space="preserve">            Beschlagnahme von Waren bei der Einfuhr und Ausfuhr</w:t>
      </w:r>
    </w:p>
    <w:p>
      <w:r>
        <w:rPr>
          <w:rFonts w:ascii="Courier New" w:hAnsi="Courier New"/>
          <w:sz w:val="17"/>
        </w:rPr>
        <w:t xml:space="preserve">§ 146    Beschlagnahme bei der Verletzung von Kennzeichenrechten</w:t>
      </w:r>
    </w:p>
    <w:p>
      <w:r>
        <w:rPr>
          <w:rFonts w:ascii="Courier New" w:hAnsi="Courier New"/>
          <w:sz w:val="17"/>
        </w:rPr>
        <w:t xml:space="preserve">§ 147    Einziehung; Widerspruch; Aufhebung der Beschlagnahme</w:t>
      </w:r>
    </w:p>
    <w:p>
      <w:r>
        <w:rPr>
          <w:rFonts w:ascii="Courier New" w:hAnsi="Courier New"/>
          <w:sz w:val="17"/>
        </w:rPr>
        <w:t xml:space="preserve">§ 148    Zuständigkeiten; Rechtsmittel</w:t>
      </w:r>
    </w:p>
    <w:p>
      <w:r>
        <w:rPr>
          <w:rFonts w:ascii="Courier New" w:hAnsi="Courier New"/>
          <w:sz w:val="17"/>
        </w:rPr>
        <w:t xml:space="preserve">§ 149    Schadensersatz bei ungerechtfertigter Beschlagnahme</w:t>
      </w:r>
    </w:p>
    <w:p>
      <w:r>
        <w:rPr>
          <w:rFonts w:ascii="Courier New" w:hAnsi="Courier New"/>
          <w:sz w:val="17"/>
        </w:rPr>
        <w:t xml:space="preserve">§ 150    Verfahren nach der Verordnung (EU) Nr. 608/2013</w:t>
      </w:r>
    </w:p>
    <w:p>
      <w:r>
        <w:rPr>
          <w:rFonts w:ascii="Courier New" w:hAnsi="Courier New"/>
          <w:sz w:val="17"/>
        </w:rPr>
        <w:t xml:space="preserve">§ 151    Verfahren nach deutschem Recht bei geographischen Herkunftsangaben</w:t>
      </w:r>
    </w:p>
    <w:p>
      <w:r>
        <w:rPr>
          <w:rFonts w:ascii="Courier New" w:hAnsi="Courier New"/>
          <w:sz w:val="17"/>
        </w:rPr>
        <w:t xml:space="preserve">Teil 10</w:t>
      </w:r>
    </w:p>
    <w:p>
      <w:r>
        <w:rPr>
          <w:rFonts w:ascii="Courier New" w:hAnsi="Courier New"/>
          <w:sz w:val="17"/>
        </w:rPr>
        <w:t xml:space="preserve">    Übergangsvorschriften</w:t>
      </w:r>
    </w:p>
    <w:p>
      <w:r>
        <w:rPr>
          <w:rFonts w:ascii="Courier New" w:hAnsi="Courier New"/>
          <w:sz w:val="17"/>
        </w:rPr>
        <w:t xml:space="preserve">§ 152    Anwendung dieses Gesetzes</w:t>
      </w:r>
    </w:p>
    <w:p>
      <w:r>
        <w:rPr>
          <w:rFonts w:ascii="Courier New" w:hAnsi="Courier New"/>
          <w:sz w:val="17"/>
        </w:rPr>
        <w:t xml:space="preserve">§ 153    Schranken für die Geltendmachung von Verletzungsansprüchen</w:t>
      </w:r>
    </w:p>
    <w:p>
      <w:r>
        <w:rPr>
          <w:rFonts w:ascii="Courier New" w:hAnsi="Courier New"/>
          <w:sz w:val="17"/>
        </w:rPr>
        <w:t xml:space="preserve">§ 154    Dingliche Rechte; Zwangsvollstreckung; Konkursverfahren</w:t>
      </w:r>
    </w:p>
    <w:p>
      <w:r>
        <w:rPr>
          <w:rFonts w:ascii="Courier New" w:hAnsi="Courier New"/>
          <w:sz w:val="17"/>
        </w:rPr>
        <w:t xml:space="preserve">§ 155    Lizenzen</w:t>
      </w:r>
    </w:p>
    <w:p>
      <w:r>
        <w:rPr>
          <w:rFonts w:ascii="Courier New" w:hAnsi="Courier New"/>
          <w:sz w:val="17"/>
        </w:rPr>
        <w:t xml:space="preserve">§ 156    Löschung einer eingetragenen Marke wegen absoluter Schutzhindernisse</w:t>
      </w:r>
    </w:p>
    <w:p>
      <w:r>
        <w:rPr>
          <w:rFonts w:ascii="Courier New" w:hAnsi="Courier New"/>
          <w:sz w:val="17"/>
        </w:rPr>
        <w:t xml:space="preserve">§ 157    Löschung einer eingetragenen Marke wegen des Bestehens älterer Rechte</w:t>
      </w:r>
    </w:p>
    <w:p>
      <w:r>
        <w:rPr>
          <w:rFonts w:ascii="Courier New" w:hAnsi="Courier New"/>
          <w:sz w:val="17"/>
        </w:rPr>
        <w:t xml:space="preserve">§ 158    Übergangsvorschriften</w:t>
      </w:r>
    </w:p>
    <w:p>
      <w:r>
        <w:rPr>
          <w:rFonts w:ascii="Courier New" w:hAnsi="Courier New"/>
          <w:sz w:val="17"/>
        </w:rPr>
        <w:t xml:space="preserve">§ 159    Schutzdauer und Verlängerung</w:t>
      </w:r>
    </w:p>
    <w:p>
      <w:r>
        <w:rPr>
          <w:rFonts w:ascii="Courier New" w:hAnsi="Courier New"/>
          <w:sz w:val="17"/>
        </w:rPr>
        <w:t xml:space="preserve">§ 160                Geändertes Unionsrecht</w:t>
      </w:r>
    </w:p>
    <w:p>
      <w:r>
        <w:rPr>
          <w:color w:val="555555"/>
          <w:sz w:val="17"/>
        </w:rPr>
        <w:t xml:space="preserve">Zitiervorschlag: Inhaltsübersicht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