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MarkenG — Angemeldete oder eingetragene Marken als relative Schutzhindernisse</w:t>
      </w:r>
    </w:p>
    <w:p>
      <w:r>
        <w:rPr>
          <w:color w:val="555555"/>
          <w:sz w:val="18"/>
        </w:rPr>
        <w:t xml:space="preserve">Markengesetz</w:t>
      </w:r>
    </w:p>
    <w:p>
      <w:r>
        <w:rPr>
          <w:color w:val="555555"/>
          <w:sz w:val="18"/>
        </w:rPr>
        <w:t xml:space="preserve">Stand: 10.06.2019 (konsolidierte Textfassung, kein amtliches Inkrafttretensdatum)</w:t>
      </w:r>
    </w:p>
    <w:p>
      <w:r>
        <w:t xml:space="preserve">(1) Die Eintragung einer Marke kann gelöscht werden,</w:t>
      </w:r>
    </w:p>
    <w:p>
      <w:pPr>
        <w:ind w:left="420"/>
      </w:pPr>
      <w:r>
        <w:t xml:space="preserve">1. wenn sie mit einer angemeldeten oder eingetragenen Marke mit älterem Zeitrang identisch ist und die Waren oder Dienstleistungen, für die sie eingetragen worden ist, mit den Waren oder Dienstleistungen identisch sind, für die die Marke mit älterem Zeitrang angemeldet oder eingetragen worden ist,</w:t>
      </w:r>
    </w:p>
    <w:p>
      <w:pPr>
        <w:ind w:left="420"/>
      </w:pPr>
      <w:r>
        <w:t xml:space="preserve">2. wenn wegen ihrer Identität oder Ähnlichkeit mit einer angemeldeten oder eingetragenen Marke mit älterem Zeitrang und der Identität oder der Ähnlichkeit der durch die beiden Marken erfaßten Waren oder Dienstleistungen für das Publikum die Gefahr von Verwechslungen besteht, einschließlich der Gefahr, daß die Marken gedanklich miteinander in Verbindung gebracht werden, oder</w:t>
      </w:r>
    </w:p>
    <w:p>
      <w:pPr>
        <w:ind w:left="420"/>
      </w:pPr>
      <w:r>
        <w:t xml:space="preserve">3. wenn sie mit einer angemeldeten oder eingetragenen Marke mit älterem Zeitrang identisch ist oder dieser ähnlich ist, falls es sich bei der Marke mit älterem Zeitrang um eine im Inland bekannte Marke handelt und die Benutzung der eingetragenen Marke die Unterscheidungskraft oder die Wertschätzung der bekannten Marke ohne rechtfertigenden Grund in unlauterer Weise ausnutzen oder beeinträchtigen würde.</w:t>
      </w:r>
    </w:p>
    <w:p>
      <w:r>
        <w:t xml:space="preserve">(2) Anmeldungen von Marken stellen ein Schutzhindernis im Sinne des Absatzes 1 nur dar, wenn sie eingetragen werden.</w:t>
      </w:r>
    </w:p>
    <w:p>
      <w:r>
        <w:t xml:space="preserve">(3) Waren und Dienstleistungen werden nicht schon deswegen als ähnlich angesehen, weil sie in derselben Klasse gemäß dem in der Genfer Fassung vom 13. Mai 1977 des Abkommens vom 15. Juni 1957 von Nizza über die internationale Klassifikation von Waren und Dienstleistungen für die Eintragung von Marken (BGBl. 1981 II S. 358, 359) festgelegten Klassifikationssystem (Nizza-Klassifikation) erscheinen. Waren und Dienstleistungen werden nicht schon deswegen als unähnlich angesehen, weil sie in verschiedenen Klassen der Nizza-Klassifikation erscheinen.</w:t>
      </w:r>
    </w:p>
    <w:p>
      <w:r>
        <w:rPr>
          <w:color w:val="555555"/>
          <w:sz w:val="17"/>
        </w:rPr>
        <w:t xml:space="preserve">Zitiervorschlag: § 9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