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 MarkenG — Förmliche Voraussetzungen</w:t>
      </w:r>
    </w:p>
    <w:p>
      <w:r>
        <w:rPr>
          <w:color w:val="555555"/>
          <w:sz w:val="18"/>
        </w:rPr>
        <w:t xml:space="preserve">Markengesetz</w:t>
      </w:r>
    </w:p>
    <w:p>
      <w:r>
        <w:rPr>
          <w:color w:val="555555"/>
          <w:sz w:val="18"/>
        </w:rPr>
        <w:t xml:space="preserve">Stand: 10.06.2019 (konsolidierte Textfassung, kein amtliches Inkrafttretensdatum)</w:t>
      </w:r>
    </w:p>
    <w:p>
      <w:r>
        <w:t xml:space="preserve">(1) Die Rechtsbeschwerde ist innerhalb eines Monats nach Zustellung des Beschlusses beim Bundesgerichtshof schriftlich einzulegen.</w:t>
      </w:r>
    </w:p>
    <w:p>
      <w:r>
        <w:t xml:space="preserve">(2) In dem Rechtsbeschwerdeverfahren vor dem Bundesgerichtshof gelten die Bestimmungen des § 142 über die Streitwertbegünstigung entsprechend.</w:t>
      </w:r>
    </w:p>
    <w:p>
      <w:r>
        <w:t xml:space="preserve">(3) Die Rechtsbeschwerde ist zu begründen. Die Frist für die Begründung beträgt einen Monat. Sie beginnt mit der Einlegung der Rechtsbeschwerde und kann auf Antrag vom Vorsitzenden verlängert werden.</w:t>
      </w:r>
    </w:p>
    <w:p>
      <w:r>
        <w:t xml:space="preserve">(4) Die Begründung der Rechtsbeschwerde muß enthalten</w:t>
      </w:r>
    </w:p>
    <w:p>
      <w:pPr>
        <w:ind w:left="420"/>
      </w:pPr>
      <w:r>
        <w:t xml:space="preserve">1. die Erklärung, inwieweit der Beschluß angefochten und seine Abänderung oder Aufhebung beantragt wird,</w:t>
      </w:r>
    </w:p>
    <w:p>
      <w:pPr>
        <w:ind w:left="420"/>
      </w:pPr>
      <w:r>
        <w:t xml:space="preserve">2. die Bezeichnung der verletzten Rechtsnorm und</w:t>
      </w:r>
    </w:p>
    <w:p>
      <w:pPr>
        <w:ind w:left="420"/>
      </w:pPr>
      <w:r>
        <w:t xml:space="preserve">3. wenn die Rechtsbeschwerde auf die Verletzung von Verfahrensvorschriften gestützt wird, die Bezeichnung der Tatsachen, die den Mangel ergeben.</w:t>
      </w:r>
    </w:p>
    <w:p>
      <w:r>
        <w:t xml:space="preserve">(5) Vor dem Bundesgerichtshof müssen sich die Beteiligten durch einen beim Bundesgerichtshof zugelassenen Rechtsanwalt als Bevollmächtigten vertreten lassen. Auf Antrag eines Beteiligten ist seinem Patentanwalt das Wort zu gestatten. Von den Kosten, die durch die Mitwirkung eines Patentanwalts entstehen, sind die Gebühren nach § 13 des Rechtsanwaltsvergütungsgesetzes und außerdem die notwendigen Auslagen des Patentanwalts zu erstatten.</w:t>
      </w:r>
    </w:p>
    <w:p>
      <w:r>
        <w:rPr>
          <w:color w:val="555555"/>
          <w:sz w:val="17"/>
        </w:rPr>
        <w:t xml:space="preserve">Zitiervorschlag: § 85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