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MarkenG — Beschwerdeberechtigung, Beschwerdegründe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steht den am Beschwerdeverfahren Beteiligten zu.</w:t>
      </w:r>
    </w:p>
    <w:p>
      <w:r>
        <w:t xml:space="preserve">(2) Die Rechtsbeschwerde kann nur darauf gestützt werden, daß der Beschluß auf einer Verletzung des Rechts beruht. Die §§ 546 und 547 der Zivilprozeßordnung gelten entsprechend.</w:t>
      </w:r>
    </w:p>
    <w:p>
      <w:r>
        <w:rPr>
          <w:color w:val="555555"/>
          <w:sz w:val="17"/>
        </w:rPr>
        <w:t xml:space="preserve">Zitiervorschlag: § 84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