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81a MarkenG — Verfahrenskostenhilfe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Verfahren vor dem Bundespatentgericht erhält ein Beteiligter auf Antrag unter entsprechender Anwendung der §§ 114 bis 116 der Zivilprozessordnung Verfahrenskostenhilfe.</w:t>
      </w:r>
    </w:p>
    <w:p>
      <w:r>
        <w:t xml:space="preserve">(2) Im Übrigen sind § 130 Absatz 2 und 3 sowie die §§ 133 bis 137 des Patentgesetzes entsprechend anzuwenden.</w:t>
      </w:r>
    </w:p>
    <w:p>
      <w:r>
        <w:rPr>
          <w:color w:val="555555"/>
          <w:sz w:val="17"/>
        </w:rPr>
        <w:t xml:space="preserve">Zitiervorschlag: § 81a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https://recht.nulegal.eu/gesetze/MarkenG/81a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